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169"/>
        <w:gridCol w:w="2367"/>
        <w:gridCol w:w="1134"/>
        <w:gridCol w:w="1985"/>
        <w:gridCol w:w="1419"/>
        <w:gridCol w:w="424"/>
      </w:tblGrid>
      <w:tr w:rsidR="00E501EB" w:rsidRPr="00FB3130" w:rsidTr="00E501EB">
        <w:tc>
          <w:tcPr>
            <w:tcW w:w="7655" w:type="dxa"/>
            <w:gridSpan w:val="4"/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sz w:val="40"/>
                <w:szCs w:val="40"/>
              </w:rPr>
            </w:pPr>
            <w:bookmarkStart w:id="0" w:name="_GoBack"/>
            <w:bookmarkEnd w:id="0"/>
            <w:r w:rsidRPr="00FB3130">
              <w:rPr>
                <w:rFonts w:ascii="Arial" w:eastAsia="Times New Roman" w:hAnsi="Arial" w:cs="Arial"/>
                <w:sz w:val="40"/>
                <w:szCs w:val="40"/>
              </w:rPr>
              <w:t xml:space="preserve">Pensions CIV Sectoral Joint Committee </w:t>
            </w:r>
          </w:p>
        </w:tc>
        <w:tc>
          <w:tcPr>
            <w:tcW w:w="1843" w:type="dxa"/>
            <w:gridSpan w:val="2"/>
          </w:tcPr>
          <w:p w:rsidR="00E501EB" w:rsidRPr="00FB3130" w:rsidRDefault="00E501EB" w:rsidP="00E501EB">
            <w:pPr>
              <w:spacing w:before="120"/>
              <w:ind w:left="-108" w:right="-108"/>
              <w:jc w:val="right"/>
              <w:rPr>
                <w:rFonts w:ascii="Arial" w:eastAsia="Times New Roman" w:hAnsi="Arial" w:cs="Arial"/>
                <w:noProof/>
                <w:sz w:val="36"/>
                <w:szCs w:val="36"/>
              </w:rPr>
            </w:pPr>
            <w:r w:rsidRPr="00FB3130">
              <w:rPr>
                <w:rFonts w:ascii="Arial" w:eastAsia="Times New Roman" w:hAnsi="Arial" w:cs="Arial"/>
                <w:noProof/>
                <w:sz w:val="36"/>
                <w:szCs w:val="36"/>
              </w:rPr>
              <w:t xml:space="preserve">Item no: 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11</w:t>
            </w:r>
          </w:p>
        </w:tc>
      </w:tr>
      <w:tr w:rsidR="00E501EB" w:rsidRPr="00FB3130" w:rsidTr="00E501EB">
        <w:trPr>
          <w:gridAfter w:val="1"/>
          <w:wAfter w:w="424" w:type="dxa"/>
        </w:trPr>
        <w:tc>
          <w:tcPr>
            <w:tcW w:w="9074" w:type="dxa"/>
            <w:gridSpan w:val="5"/>
          </w:tcPr>
          <w:p w:rsidR="00E501EB" w:rsidRPr="00FB3130" w:rsidRDefault="00E501EB" w:rsidP="00E501EB">
            <w:pPr>
              <w:tabs>
                <w:tab w:val="right" w:pos="9497"/>
              </w:tabs>
              <w:ind w:left="567"/>
              <w:rPr>
                <w:rFonts w:ascii="Arial" w:eastAsia="Times New Roman" w:hAnsi="Arial" w:cs="Arial"/>
                <w:sz w:val="14"/>
              </w:rPr>
            </w:pPr>
          </w:p>
        </w:tc>
      </w:tr>
      <w:tr w:rsidR="00E501EB" w:rsidRPr="00FB3130" w:rsidTr="00E501EB">
        <w:trPr>
          <w:gridAfter w:val="1"/>
          <w:wAfter w:w="424" w:type="dxa"/>
        </w:trPr>
        <w:tc>
          <w:tcPr>
            <w:tcW w:w="9074" w:type="dxa"/>
            <w:gridSpan w:val="5"/>
          </w:tcPr>
          <w:p w:rsidR="00E501EB" w:rsidRPr="00FB3130" w:rsidRDefault="00E501EB" w:rsidP="00E501EB">
            <w:pPr>
              <w:spacing w:after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40"/>
              </w:rPr>
              <w:t>Variation of Permissions</w:t>
            </w:r>
          </w:p>
        </w:tc>
      </w:tr>
      <w:tr w:rsidR="00E501EB" w:rsidRPr="00FB3130" w:rsidTr="00E501EB">
        <w:trPr>
          <w:gridAfter w:val="1"/>
          <w:wAfter w:w="424" w:type="dxa"/>
        </w:trPr>
        <w:tc>
          <w:tcPr>
            <w:tcW w:w="2169" w:type="dxa"/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b/>
                <w:noProof/>
              </w:rPr>
            </w:pPr>
            <w:r w:rsidRPr="00FB3130">
              <w:rPr>
                <w:rFonts w:ascii="Arial" w:eastAsia="Times New Roman" w:hAnsi="Arial" w:cs="Arial"/>
                <w:b/>
                <w:noProof/>
              </w:rPr>
              <w:t>Report by:</w:t>
            </w:r>
          </w:p>
        </w:tc>
        <w:tc>
          <w:tcPr>
            <w:tcW w:w="2367" w:type="dxa"/>
          </w:tcPr>
          <w:p w:rsidR="00E501EB" w:rsidRPr="004E2CCE" w:rsidRDefault="00E501EB" w:rsidP="00E501EB">
            <w:pPr>
              <w:pStyle w:val="algForm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Brian Lee</w:t>
            </w:r>
          </w:p>
        </w:tc>
        <w:tc>
          <w:tcPr>
            <w:tcW w:w="1134" w:type="dxa"/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b/>
                <w:noProof/>
              </w:rPr>
            </w:pPr>
            <w:r w:rsidRPr="00FB3130">
              <w:rPr>
                <w:rFonts w:ascii="Arial" w:eastAsia="Times New Roman" w:hAnsi="Arial" w:cs="Arial"/>
                <w:b/>
                <w:noProof/>
              </w:rPr>
              <w:t>Job title:</w:t>
            </w:r>
          </w:p>
        </w:tc>
        <w:tc>
          <w:tcPr>
            <w:tcW w:w="3404" w:type="dxa"/>
            <w:gridSpan w:val="2"/>
            <w:tcMar>
              <w:right w:w="0" w:type="dxa"/>
            </w:tcMar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</w:rPr>
            </w:pPr>
            <w:r w:rsidRPr="00FB3130">
              <w:rPr>
                <w:rFonts w:ascii="Arial" w:eastAsia="Times New Roman" w:hAnsi="Arial" w:cs="Arial"/>
              </w:rPr>
              <w:t>C</w:t>
            </w:r>
            <w:r>
              <w:rPr>
                <w:rFonts w:ascii="Arial" w:eastAsia="Times New Roman" w:hAnsi="Arial" w:cs="Arial"/>
              </w:rPr>
              <w:t>OO</w:t>
            </w:r>
          </w:p>
        </w:tc>
      </w:tr>
      <w:tr w:rsidR="00E501EB" w:rsidRPr="00FB3130" w:rsidTr="00E501EB">
        <w:trPr>
          <w:gridAfter w:val="1"/>
          <w:wAfter w:w="424" w:type="dxa"/>
        </w:trPr>
        <w:tc>
          <w:tcPr>
            <w:tcW w:w="2169" w:type="dxa"/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b/>
                <w:noProof/>
              </w:rPr>
            </w:pPr>
            <w:r w:rsidRPr="00FB3130">
              <w:rPr>
                <w:rFonts w:ascii="Arial" w:eastAsia="Times New Roman" w:hAnsi="Arial" w:cs="Arial"/>
                <w:b/>
                <w:noProof/>
              </w:rPr>
              <w:t>Date:</w:t>
            </w:r>
          </w:p>
        </w:tc>
        <w:tc>
          <w:tcPr>
            <w:tcW w:w="6905" w:type="dxa"/>
            <w:gridSpan w:val="4"/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13 September </w:t>
            </w:r>
            <w:r w:rsidRPr="00FB3130">
              <w:rPr>
                <w:rFonts w:ascii="Arial" w:eastAsia="Times New Roman" w:hAnsi="Arial" w:cs="Arial"/>
              </w:rPr>
              <w:t xml:space="preserve"> 2017</w:t>
            </w:r>
          </w:p>
        </w:tc>
      </w:tr>
      <w:tr w:rsidR="00E501EB" w:rsidRPr="00FB3130" w:rsidTr="00E501EB">
        <w:trPr>
          <w:gridAfter w:val="1"/>
          <w:wAfter w:w="424" w:type="dxa"/>
          <w:trHeight w:val="612"/>
        </w:trPr>
        <w:tc>
          <w:tcPr>
            <w:tcW w:w="2169" w:type="dxa"/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b/>
                <w:noProof/>
              </w:rPr>
            </w:pPr>
            <w:r w:rsidRPr="00FB3130">
              <w:rPr>
                <w:rFonts w:ascii="Arial" w:eastAsia="Times New Roman" w:hAnsi="Arial" w:cs="Arial"/>
                <w:b/>
                <w:noProof/>
              </w:rPr>
              <w:t>Contact Officer:</w:t>
            </w:r>
          </w:p>
        </w:tc>
        <w:tc>
          <w:tcPr>
            <w:tcW w:w="6905" w:type="dxa"/>
            <w:gridSpan w:val="4"/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noProof/>
              </w:rPr>
            </w:pPr>
          </w:p>
        </w:tc>
      </w:tr>
      <w:tr w:rsidR="00E501EB" w:rsidRPr="00FB3130" w:rsidTr="00E501EB">
        <w:trPr>
          <w:gridAfter w:val="1"/>
          <w:wAfter w:w="424" w:type="dxa"/>
        </w:trPr>
        <w:tc>
          <w:tcPr>
            <w:tcW w:w="2169" w:type="dxa"/>
            <w:tcBorders>
              <w:bottom w:val="single" w:sz="4" w:space="0" w:color="auto"/>
            </w:tcBorders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b/>
                <w:noProof/>
              </w:rPr>
            </w:pPr>
            <w:r w:rsidRPr="00FB3130">
              <w:rPr>
                <w:rFonts w:ascii="Arial" w:eastAsia="Times New Roman" w:hAnsi="Arial" w:cs="Arial"/>
                <w:b/>
                <w:noProof/>
              </w:rPr>
              <w:t>Telephone: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noProof/>
              </w:rPr>
            </w:pPr>
            <w:r w:rsidRPr="00FB3130">
              <w:rPr>
                <w:rFonts w:ascii="Arial" w:eastAsia="Times New Roman" w:hAnsi="Arial" w:cs="Arial"/>
                <w:noProof/>
              </w:rPr>
              <w:t>020 7934 9</w:t>
            </w:r>
            <w:r>
              <w:rPr>
                <w:rFonts w:ascii="Arial" w:eastAsia="Times New Roman" w:hAnsi="Arial" w:cs="Arial"/>
                <w:noProof/>
              </w:rPr>
              <w:t>818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b/>
                <w:noProof/>
              </w:rPr>
            </w:pPr>
            <w:r w:rsidRPr="00FB3130">
              <w:rPr>
                <w:rFonts w:ascii="Arial" w:eastAsia="Times New Roman" w:hAnsi="Arial" w:cs="Arial"/>
                <w:b/>
                <w:noProof/>
              </w:rPr>
              <w:t>Email: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E501EB" w:rsidRPr="004E2CCE" w:rsidRDefault="00E501EB" w:rsidP="00E501EB">
            <w:pPr>
              <w:pStyle w:val="algForm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Brian.Lee@londonciv.org.uk</w:t>
            </w:r>
          </w:p>
        </w:tc>
      </w:tr>
      <w:tr w:rsidR="00E501EB" w:rsidRPr="00FB3130" w:rsidTr="00E501EB">
        <w:tblPrEx>
          <w:tblLook w:val="01E0" w:firstRow="1" w:lastRow="1" w:firstColumn="1" w:lastColumn="1" w:noHBand="0" w:noVBand="0"/>
        </w:tblPrEx>
        <w:trPr>
          <w:gridAfter w:val="1"/>
          <w:wAfter w:w="424" w:type="dxa"/>
          <w:trHeight w:val="426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b/>
                <w:noProof/>
              </w:rPr>
            </w:pPr>
            <w:r w:rsidRPr="00FB3130">
              <w:rPr>
                <w:rFonts w:ascii="Arial" w:eastAsia="Times New Roman" w:hAnsi="Arial" w:cs="Arial"/>
                <w:b/>
                <w:noProof/>
              </w:rPr>
              <w:t>Summary: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1EB" w:rsidRPr="00FB3130" w:rsidRDefault="00E501EB" w:rsidP="009B74A1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This report provides the Committee with </w:t>
            </w:r>
            <w:r w:rsidR="009B74A1">
              <w:rPr>
                <w:rFonts w:ascii="Arial" w:eastAsia="Times New Roman" w:hAnsi="Arial" w:cs="Arial"/>
              </w:rPr>
              <w:t>advanced notification that a written resolution will be circulated to all Shareholder Representatives shortly to seek agreement to LCIV applying to the FCA for a ‘Variation of Permissions’ to enable the Company to expand its activities to include the operation of Unauthorised Alternative Investment Funds.</w:t>
            </w:r>
          </w:p>
        </w:tc>
      </w:tr>
      <w:tr w:rsidR="00E501EB" w:rsidRPr="00FB3130" w:rsidTr="00E501EB">
        <w:tblPrEx>
          <w:tblLook w:val="01E0" w:firstRow="1" w:lastRow="1" w:firstColumn="1" w:lastColumn="1" w:noHBand="0" w:noVBand="0"/>
        </w:tblPrEx>
        <w:trPr>
          <w:gridAfter w:val="1"/>
          <w:wAfter w:w="424" w:type="dxa"/>
          <w:trHeight w:val="704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E501EB" w:rsidRPr="00FB3130" w:rsidRDefault="00E501EB" w:rsidP="00E501EB">
            <w:pPr>
              <w:spacing w:before="120" w:after="120"/>
              <w:rPr>
                <w:rFonts w:ascii="Arial" w:eastAsia="Times New Roman" w:hAnsi="Arial" w:cs="Arial"/>
                <w:b/>
                <w:noProof/>
              </w:rPr>
            </w:pPr>
            <w:r w:rsidRPr="00FB3130">
              <w:rPr>
                <w:rFonts w:ascii="Arial" w:eastAsia="Times New Roman" w:hAnsi="Arial" w:cs="Arial"/>
                <w:b/>
                <w:noProof/>
              </w:rPr>
              <w:t>Recommendations: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1EB" w:rsidRDefault="00E501EB" w:rsidP="00E501EB">
            <w:pPr>
              <w:pStyle w:val="Default"/>
              <w:spacing w:before="12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Committee is recommended to note the contents of this report and agree that LCIV:</w:t>
            </w:r>
          </w:p>
          <w:p w:rsidR="00E501EB" w:rsidRPr="00FB3130" w:rsidRDefault="00E501EB" w:rsidP="00E501EB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666"/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sz w:val="22"/>
                <w:szCs w:val="22"/>
              </w:rPr>
              <w:t>proceed</w:t>
            </w:r>
            <w:proofErr w:type="gramEnd"/>
            <w:r>
              <w:rPr>
                <w:sz w:val="22"/>
                <w:szCs w:val="22"/>
              </w:rPr>
              <w:t xml:space="preserve"> to prepare a resolution for shareholder approval to extend the activity of the Company</w:t>
            </w:r>
            <w:r w:rsidRPr="00C91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 w:rsidRPr="00C91390">
              <w:rPr>
                <w:sz w:val="22"/>
                <w:szCs w:val="22"/>
              </w:rPr>
              <w:t>manage both authorised and unauthorised Alternative Investment Funds (AIFs)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501EB" w:rsidRDefault="00E501EB"/>
    <w:p w:rsidR="00E501EB" w:rsidRDefault="00E501EB"/>
    <w:p w:rsidR="00BB5D91" w:rsidRPr="004E2CCE" w:rsidRDefault="00BB5D91" w:rsidP="00E738B3">
      <w:pPr>
        <w:jc w:val="both"/>
        <w:rPr>
          <w:rFonts w:ascii="Arial" w:hAnsi="Arial" w:cs="Arial"/>
          <w:b/>
          <w:bCs/>
          <w:sz w:val="28"/>
          <w:szCs w:val="28"/>
        </w:rPr>
        <w:sectPr w:rsidR="00BB5D91" w:rsidRPr="004E2CCE" w:rsidSect="005D7BB0">
          <w:headerReference w:type="default" r:id="rId10"/>
          <w:headerReference w:type="first" r:id="rId11"/>
          <w:pgSz w:w="11907" w:h="16839" w:code="9"/>
          <w:pgMar w:top="1440" w:right="992" w:bottom="1440" w:left="1440" w:header="720" w:footer="720" w:gutter="0"/>
          <w:cols w:space="720"/>
          <w:titlePg/>
          <w:docGrid w:linePitch="360"/>
        </w:sectPr>
      </w:pPr>
    </w:p>
    <w:p w:rsidR="00C91390" w:rsidRPr="00E501EB" w:rsidRDefault="00C91390" w:rsidP="00E501EB">
      <w:pPr>
        <w:pStyle w:val="Default"/>
        <w:spacing w:after="120"/>
        <w:rPr>
          <w:b/>
          <w:sz w:val="22"/>
          <w:szCs w:val="22"/>
        </w:rPr>
      </w:pPr>
      <w:r w:rsidRPr="00E501EB">
        <w:rPr>
          <w:b/>
          <w:sz w:val="22"/>
          <w:szCs w:val="22"/>
        </w:rPr>
        <w:lastRenderedPageBreak/>
        <w:t>Background</w:t>
      </w:r>
    </w:p>
    <w:p w:rsidR="00C91390" w:rsidRDefault="00C91390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CA153A">
        <w:rPr>
          <w:sz w:val="22"/>
          <w:szCs w:val="22"/>
        </w:rPr>
        <w:t xml:space="preserve">The </w:t>
      </w:r>
      <w:r>
        <w:rPr>
          <w:sz w:val="22"/>
          <w:szCs w:val="22"/>
        </w:rPr>
        <w:t>current regulatory</w:t>
      </w:r>
      <w:r w:rsidR="00644D87">
        <w:rPr>
          <w:sz w:val="22"/>
          <w:szCs w:val="22"/>
        </w:rPr>
        <w:t xml:space="preserve"> permissions of LCIV</w:t>
      </w:r>
      <w:r w:rsidR="00E501EB">
        <w:rPr>
          <w:sz w:val="22"/>
          <w:szCs w:val="22"/>
        </w:rPr>
        <w:t>,</w:t>
      </w:r>
      <w:r w:rsidR="00644D87">
        <w:rPr>
          <w:sz w:val="22"/>
          <w:szCs w:val="22"/>
        </w:rPr>
        <w:t xml:space="preserve"> as detailed in</w:t>
      </w:r>
      <w:r>
        <w:rPr>
          <w:sz w:val="22"/>
          <w:szCs w:val="22"/>
        </w:rPr>
        <w:t xml:space="preserve"> t</w:t>
      </w:r>
      <w:r w:rsidR="00644D87">
        <w:rPr>
          <w:sz w:val="22"/>
          <w:szCs w:val="22"/>
        </w:rPr>
        <w:t>he Shareholder Agreement</w:t>
      </w:r>
      <w:r w:rsidR="00E501EB">
        <w:rPr>
          <w:sz w:val="22"/>
          <w:szCs w:val="22"/>
        </w:rPr>
        <w:t>,</w:t>
      </w:r>
      <w:r w:rsidR="00644D87">
        <w:rPr>
          <w:sz w:val="22"/>
          <w:szCs w:val="22"/>
        </w:rPr>
        <w:t xml:space="preserve"> limit</w:t>
      </w:r>
      <w:r>
        <w:rPr>
          <w:sz w:val="22"/>
          <w:szCs w:val="22"/>
        </w:rPr>
        <w:t xml:space="preserve"> the </w:t>
      </w:r>
      <w:r w:rsidRPr="00CA153A">
        <w:rPr>
          <w:sz w:val="22"/>
          <w:szCs w:val="22"/>
        </w:rPr>
        <w:t>Company</w:t>
      </w:r>
      <w:r w:rsidR="00E501EB">
        <w:rPr>
          <w:sz w:val="22"/>
          <w:szCs w:val="22"/>
        </w:rPr>
        <w:t>’s</w:t>
      </w:r>
      <w:r w:rsidRPr="00CA15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business activities </w:t>
      </w:r>
      <w:r w:rsidRPr="00CA153A">
        <w:rPr>
          <w:sz w:val="22"/>
          <w:szCs w:val="22"/>
        </w:rPr>
        <w:t>to “</w:t>
      </w:r>
      <w:r w:rsidRPr="00E501EB">
        <w:rPr>
          <w:i/>
          <w:sz w:val="22"/>
          <w:szCs w:val="22"/>
        </w:rPr>
        <w:t>acting as the FCA authorised operator of an ACS to provide a collaborative platform through which the Administering Authorities of the LGPS funds can aggregate their pension monies and other investments.</w:t>
      </w:r>
      <w:r w:rsidRPr="00CA153A">
        <w:rPr>
          <w:sz w:val="22"/>
          <w:szCs w:val="22"/>
        </w:rPr>
        <w:t xml:space="preserve">” </w:t>
      </w:r>
    </w:p>
    <w:p w:rsidR="0064141E" w:rsidRDefault="00AE7B82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44D87">
        <w:rPr>
          <w:sz w:val="22"/>
          <w:szCs w:val="22"/>
        </w:rPr>
        <w:t>his permission</w:t>
      </w:r>
      <w:r w:rsidR="00C91390">
        <w:rPr>
          <w:sz w:val="22"/>
          <w:szCs w:val="22"/>
        </w:rPr>
        <w:t xml:space="preserve"> </w:t>
      </w:r>
      <w:r>
        <w:rPr>
          <w:sz w:val="22"/>
          <w:szCs w:val="22"/>
        </w:rPr>
        <w:t>relate</w:t>
      </w:r>
      <w:r w:rsidR="00644D87">
        <w:rPr>
          <w:sz w:val="22"/>
          <w:szCs w:val="22"/>
        </w:rPr>
        <w:t>s</w:t>
      </w:r>
      <w:r>
        <w:rPr>
          <w:sz w:val="22"/>
          <w:szCs w:val="22"/>
        </w:rPr>
        <w:t xml:space="preserve"> to the management of an authorised A</w:t>
      </w:r>
      <w:r w:rsidR="00E501EB">
        <w:rPr>
          <w:sz w:val="22"/>
          <w:szCs w:val="22"/>
        </w:rPr>
        <w:t xml:space="preserve">lternative </w:t>
      </w:r>
      <w:r>
        <w:rPr>
          <w:sz w:val="22"/>
          <w:szCs w:val="22"/>
        </w:rPr>
        <w:t>I</w:t>
      </w:r>
      <w:r w:rsidR="00E501EB">
        <w:rPr>
          <w:sz w:val="22"/>
          <w:szCs w:val="22"/>
        </w:rPr>
        <w:t xml:space="preserve">nvestment </w:t>
      </w:r>
      <w:r>
        <w:rPr>
          <w:sz w:val="22"/>
          <w:szCs w:val="22"/>
        </w:rPr>
        <w:t>F</w:t>
      </w:r>
      <w:r w:rsidR="00E501EB">
        <w:rPr>
          <w:sz w:val="22"/>
          <w:szCs w:val="22"/>
        </w:rPr>
        <w:t>und (AIF)</w:t>
      </w:r>
      <w:r>
        <w:rPr>
          <w:sz w:val="22"/>
          <w:szCs w:val="22"/>
        </w:rPr>
        <w:t xml:space="preserve"> which is </w:t>
      </w:r>
      <w:r w:rsidR="00644D87">
        <w:rPr>
          <w:sz w:val="22"/>
          <w:szCs w:val="22"/>
        </w:rPr>
        <w:t xml:space="preserve">essentially </w:t>
      </w:r>
      <w:r>
        <w:rPr>
          <w:sz w:val="22"/>
          <w:szCs w:val="22"/>
        </w:rPr>
        <w:t>a highly liquid collective investment scheme</w:t>
      </w:r>
      <w:r w:rsidR="0064141E">
        <w:rPr>
          <w:sz w:val="22"/>
          <w:szCs w:val="22"/>
        </w:rPr>
        <w:t xml:space="preserve">. Consequently, </w:t>
      </w:r>
      <w:r w:rsidR="00644D87">
        <w:rPr>
          <w:sz w:val="22"/>
          <w:szCs w:val="22"/>
        </w:rPr>
        <w:t>the current FCA permission</w:t>
      </w:r>
      <w:r>
        <w:rPr>
          <w:sz w:val="22"/>
          <w:szCs w:val="22"/>
        </w:rPr>
        <w:t xml:space="preserve"> do</w:t>
      </w:r>
      <w:r w:rsidR="00644D87">
        <w:rPr>
          <w:sz w:val="22"/>
          <w:szCs w:val="22"/>
        </w:rPr>
        <w:t>es</w:t>
      </w:r>
      <w:r>
        <w:rPr>
          <w:sz w:val="22"/>
          <w:szCs w:val="22"/>
        </w:rPr>
        <w:t xml:space="preserve"> not </w:t>
      </w:r>
      <w:r w:rsidR="00644D87">
        <w:rPr>
          <w:sz w:val="22"/>
          <w:szCs w:val="22"/>
        </w:rPr>
        <w:t>naturally fit with</w:t>
      </w:r>
      <w:r>
        <w:rPr>
          <w:sz w:val="22"/>
          <w:szCs w:val="22"/>
        </w:rPr>
        <w:t xml:space="preserve"> </w:t>
      </w:r>
      <w:r w:rsidR="00E501EB">
        <w:rPr>
          <w:sz w:val="22"/>
          <w:szCs w:val="22"/>
        </w:rPr>
        <w:t xml:space="preserve">some </w:t>
      </w:r>
      <w:r>
        <w:rPr>
          <w:sz w:val="22"/>
          <w:szCs w:val="22"/>
        </w:rPr>
        <w:t>other asset classes such as private debt, pr</w:t>
      </w:r>
      <w:r w:rsidR="0064141E">
        <w:rPr>
          <w:sz w:val="22"/>
          <w:szCs w:val="22"/>
        </w:rPr>
        <w:t>i</w:t>
      </w:r>
      <w:r>
        <w:rPr>
          <w:sz w:val="22"/>
          <w:szCs w:val="22"/>
        </w:rPr>
        <w:t>vate</w:t>
      </w:r>
      <w:r w:rsidR="0064141E">
        <w:rPr>
          <w:sz w:val="22"/>
          <w:szCs w:val="22"/>
        </w:rPr>
        <w:t xml:space="preserve"> equity</w:t>
      </w:r>
      <w:r w:rsidR="00954D5C">
        <w:rPr>
          <w:sz w:val="22"/>
          <w:szCs w:val="22"/>
        </w:rPr>
        <w:t>, real estate</w:t>
      </w:r>
      <w:r w:rsidR="0064141E">
        <w:rPr>
          <w:sz w:val="22"/>
          <w:szCs w:val="22"/>
        </w:rPr>
        <w:t xml:space="preserve"> or infrastructure which by their inherent nature repre</w:t>
      </w:r>
      <w:r w:rsidR="00644D87">
        <w:rPr>
          <w:sz w:val="22"/>
          <w:szCs w:val="22"/>
        </w:rPr>
        <w:t>sent limited</w:t>
      </w:r>
      <w:r w:rsidR="0064141E">
        <w:rPr>
          <w:sz w:val="22"/>
          <w:szCs w:val="22"/>
        </w:rPr>
        <w:t xml:space="preserve"> liquidity.</w:t>
      </w:r>
      <w:r>
        <w:rPr>
          <w:sz w:val="22"/>
          <w:szCs w:val="22"/>
        </w:rPr>
        <w:t xml:space="preserve">  </w:t>
      </w:r>
    </w:p>
    <w:p w:rsidR="00C91390" w:rsidRPr="00AE7B82" w:rsidRDefault="0064141E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</w:t>
      </w:r>
      <w:r w:rsidR="00644D87">
        <w:rPr>
          <w:sz w:val="22"/>
          <w:szCs w:val="22"/>
        </w:rPr>
        <w:t xml:space="preserve"> </w:t>
      </w:r>
      <w:r w:rsidR="00866050">
        <w:rPr>
          <w:sz w:val="22"/>
          <w:szCs w:val="22"/>
        </w:rPr>
        <w:t xml:space="preserve">current </w:t>
      </w:r>
      <w:r w:rsidR="00644D87">
        <w:rPr>
          <w:sz w:val="22"/>
          <w:szCs w:val="22"/>
        </w:rPr>
        <w:t xml:space="preserve">limitation </w:t>
      </w:r>
      <w:r>
        <w:rPr>
          <w:sz w:val="22"/>
          <w:szCs w:val="22"/>
        </w:rPr>
        <w:t>means that LCIV</w:t>
      </w:r>
      <w:r w:rsidR="00C91390" w:rsidRPr="00AE7B82">
        <w:rPr>
          <w:sz w:val="22"/>
          <w:szCs w:val="22"/>
        </w:rPr>
        <w:t xml:space="preserve"> </w:t>
      </w:r>
      <w:r w:rsidR="00644D87">
        <w:rPr>
          <w:sz w:val="22"/>
          <w:szCs w:val="22"/>
        </w:rPr>
        <w:t>must expand its range of permissions in order</w:t>
      </w:r>
      <w:r w:rsidR="00C91390" w:rsidRPr="00AE7B82">
        <w:rPr>
          <w:sz w:val="22"/>
          <w:szCs w:val="22"/>
        </w:rPr>
        <w:t xml:space="preserve"> to </w:t>
      </w:r>
      <w:r w:rsidR="00644D87">
        <w:rPr>
          <w:sz w:val="22"/>
          <w:szCs w:val="22"/>
        </w:rPr>
        <w:t>be able to offer illiquid asset classes</w:t>
      </w:r>
      <w:r w:rsidR="00866050">
        <w:rPr>
          <w:sz w:val="22"/>
          <w:szCs w:val="22"/>
        </w:rPr>
        <w:t xml:space="preserve"> which are generally held in different legal structures such as partnerships.</w:t>
      </w:r>
      <w:r w:rsidR="00C91390" w:rsidRPr="00AE7B82">
        <w:rPr>
          <w:sz w:val="22"/>
          <w:szCs w:val="22"/>
        </w:rPr>
        <w:t xml:space="preserve"> </w:t>
      </w:r>
    </w:p>
    <w:p w:rsidR="00954D5C" w:rsidRDefault="00C91390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order</w:t>
      </w:r>
      <w:r w:rsidR="00954D5C">
        <w:rPr>
          <w:sz w:val="22"/>
          <w:szCs w:val="22"/>
        </w:rPr>
        <w:t xml:space="preserve"> to resolve this situation</w:t>
      </w:r>
      <w:r>
        <w:rPr>
          <w:sz w:val="22"/>
          <w:szCs w:val="22"/>
        </w:rPr>
        <w:t xml:space="preserve"> and provide</w:t>
      </w:r>
      <w:r w:rsidR="00954D5C">
        <w:rPr>
          <w:sz w:val="22"/>
          <w:szCs w:val="22"/>
        </w:rPr>
        <w:t xml:space="preserve"> illiquid pooled solutions, LCIV </w:t>
      </w:r>
      <w:r>
        <w:rPr>
          <w:sz w:val="22"/>
          <w:szCs w:val="22"/>
        </w:rPr>
        <w:t>need</w:t>
      </w:r>
      <w:r w:rsidR="00954D5C">
        <w:rPr>
          <w:sz w:val="22"/>
          <w:szCs w:val="22"/>
        </w:rPr>
        <w:t>s</w:t>
      </w:r>
      <w:r>
        <w:rPr>
          <w:sz w:val="22"/>
          <w:szCs w:val="22"/>
        </w:rPr>
        <w:t xml:space="preserve"> to </w:t>
      </w:r>
      <w:r w:rsidR="00954D5C">
        <w:rPr>
          <w:sz w:val="22"/>
          <w:szCs w:val="22"/>
        </w:rPr>
        <w:t>obtain shareholder approval to extend the activities of the busines</w:t>
      </w:r>
      <w:r w:rsidR="00866050">
        <w:rPr>
          <w:sz w:val="22"/>
          <w:szCs w:val="22"/>
        </w:rPr>
        <w:t>s. This approval</w:t>
      </w:r>
      <w:r w:rsidR="00644D87">
        <w:rPr>
          <w:sz w:val="22"/>
          <w:szCs w:val="22"/>
        </w:rPr>
        <w:t xml:space="preserve"> will permit</w:t>
      </w:r>
      <w:r w:rsidR="00954D5C">
        <w:rPr>
          <w:sz w:val="22"/>
          <w:szCs w:val="22"/>
        </w:rPr>
        <w:t xml:space="preserve"> LCIV to </w:t>
      </w:r>
      <w:r>
        <w:rPr>
          <w:sz w:val="22"/>
          <w:szCs w:val="22"/>
        </w:rPr>
        <w:t>apply for a variation of permission</w:t>
      </w:r>
      <w:r w:rsidR="00954D5C">
        <w:rPr>
          <w:sz w:val="22"/>
          <w:szCs w:val="22"/>
        </w:rPr>
        <w:t>s</w:t>
      </w:r>
      <w:r>
        <w:rPr>
          <w:sz w:val="22"/>
          <w:szCs w:val="22"/>
        </w:rPr>
        <w:t xml:space="preserve"> with the FCA to run </w:t>
      </w:r>
      <w:r w:rsidR="00954D5C">
        <w:rPr>
          <w:sz w:val="22"/>
          <w:szCs w:val="22"/>
        </w:rPr>
        <w:t xml:space="preserve">both </w:t>
      </w:r>
      <w:r w:rsidRPr="00CA153A">
        <w:rPr>
          <w:sz w:val="22"/>
          <w:szCs w:val="22"/>
        </w:rPr>
        <w:t>unauthorised</w:t>
      </w:r>
      <w:r w:rsidR="00E501EB">
        <w:rPr>
          <w:sz w:val="22"/>
          <w:szCs w:val="22"/>
        </w:rPr>
        <w:t>,</w:t>
      </w:r>
      <w:r w:rsidRPr="00CA153A">
        <w:rPr>
          <w:sz w:val="22"/>
          <w:szCs w:val="22"/>
        </w:rPr>
        <w:t xml:space="preserve"> </w:t>
      </w:r>
      <w:r w:rsidR="00954D5C">
        <w:rPr>
          <w:sz w:val="22"/>
          <w:szCs w:val="22"/>
        </w:rPr>
        <w:t xml:space="preserve">as well as </w:t>
      </w:r>
      <w:r w:rsidR="00E501EB">
        <w:rPr>
          <w:sz w:val="22"/>
          <w:szCs w:val="22"/>
        </w:rPr>
        <w:t>a</w:t>
      </w:r>
      <w:r w:rsidR="00954D5C">
        <w:rPr>
          <w:sz w:val="22"/>
          <w:szCs w:val="22"/>
        </w:rPr>
        <w:t>uthorised</w:t>
      </w:r>
      <w:r w:rsidR="00E501EB">
        <w:rPr>
          <w:sz w:val="22"/>
          <w:szCs w:val="22"/>
        </w:rPr>
        <w:t>, AIFs</w:t>
      </w:r>
      <w:r w:rsidRPr="00CA15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91390" w:rsidRDefault="00954D5C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important that the extension of the business activity is approved as soon as possible so that LCIV can </w:t>
      </w:r>
      <w:r w:rsidR="00C91390">
        <w:rPr>
          <w:sz w:val="22"/>
          <w:szCs w:val="22"/>
        </w:rPr>
        <w:t>deliver on LLAs</w:t>
      </w:r>
      <w:r>
        <w:rPr>
          <w:sz w:val="22"/>
          <w:szCs w:val="22"/>
        </w:rPr>
        <w:t>’</w:t>
      </w:r>
      <w:r w:rsidR="00C91390">
        <w:rPr>
          <w:sz w:val="22"/>
          <w:szCs w:val="22"/>
        </w:rPr>
        <w:t xml:space="preserve"> immediate requests for Direct Credit (part of the </w:t>
      </w:r>
      <w:r>
        <w:rPr>
          <w:sz w:val="22"/>
          <w:szCs w:val="22"/>
        </w:rPr>
        <w:t xml:space="preserve">fixed income fund offerings) and </w:t>
      </w:r>
      <w:r w:rsidR="00C91390">
        <w:rPr>
          <w:sz w:val="22"/>
          <w:szCs w:val="22"/>
        </w:rPr>
        <w:t xml:space="preserve">Infrastructure. </w:t>
      </w:r>
    </w:p>
    <w:p w:rsidR="00644D87" w:rsidRPr="00644D87" w:rsidRDefault="00644D87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report is intended to give the Committee advance warning that a </w:t>
      </w:r>
      <w:r w:rsidR="00E501EB">
        <w:rPr>
          <w:sz w:val="22"/>
          <w:szCs w:val="22"/>
        </w:rPr>
        <w:t xml:space="preserve">written </w:t>
      </w:r>
      <w:r>
        <w:rPr>
          <w:sz w:val="22"/>
          <w:szCs w:val="22"/>
        </w:rPr>
        <w:t>shareholder resolution will be circulated in the next few weeks and the reasons why this resolution is necessary.</w:t>
      </w:r>
    </w:p>
    <w:p w:rsidR="00C91390" w:rsidRPr="00E501EB" w:rsidRDefault="00C91390" w:rsidP="00E501EB">
      <w:pPr>
        <w:pStyle w:val="Default"/>
        <w:spacing w:after="120"/>
        <w:rPr>
          <w:b/>
          <w:sz w:val="22"/>
          <w:szCs w:val="22"/>
        </w:rPr>
      </w:pPr>
      <w:r w:rsidRPr="00E501EB">
        <w:rPr>
          <w:b/>
          <w:sz w:val="22"/>
          <w:szCs w:val="22"/>
        </w:rPr>
        <w:t>Requisition a variation of permissions</w:t>
      </w:r>
    </w:p>
    <w:p w:rsidR="00C91390" w:rsidRPr="00E501EB" w:rsidRDefault="00C91390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E501EB">
        <w:rPr>
          <w:sz w:val="22"/>
          <w:szCs w:val="22"/>
        </w:rPr>
        <w:t>The mechanics of the FCA variation of permissions (</w:t>
      </w:r>
      <w:proofErr w:type="spellStart"/>
      <w:r w:rsidRPr="00E501EB">
        <w:rPr>
          <w:sz w:val="22"/>
          <w:szCs w:val="22"/>
        </w:rPr>
        <w:t>VoP</w:t>
      </w:r>
      <w:proofErr w:type="spellEnd"/>
      <w:r w:rsidRPr="00E501EB">
        <w:rPr>
          <w:sz w:val="22"/>
          <w:szCs w:val="22"/>
        </w:rPr>
        <w:t xml:space="preserve">) application process are straightforward and involve filling out an online form submission to the FCA. Eversheds has informed LCIV that the FCA typically takes 3 months to approve the variation of permissions although the FCA reserves the right to take 6 months. </w:t>
      </w:r>
      <w:r w:rsidR="006C11B3" w:rsidRPr="00E501EB">
        <w:rPr>
          <w:sz w:val="22"/>
          <w:szCs w:val="22"/>
        </w:rPr>
        <w:t xml:space="preserve">There is no FCA </w:t>
      </w:r>
      <w:r w:rsidR="00E501EB">
        <w:rPr>
          <w:sz w:val="22"/>
          <w:szCs w:val="22"/>
        </w:rPr>
        <w:t xml:space="preserve">fee </w:t>
      </w:r>
      <w:r w:rsidR="006C11B3" w:rsidRPr="00E501EB">
        <w:rPr>
          <w:sz w:val="22"/>
          <w:szCs w:val="22"/>
        </w:rPr>
        <w:t>for this submission.</w:t>
      </w:r>
    </w:p>
    <w:p w:rsidR="00C91390" w:rsidRPr="00E501EB" w:rsidRDefault="00C91390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E501EB">
        <w:rPr>
          <w:sz w:val="22"/>
          <w:szCs w:val="22"/>
        </w:rPr>
        <w:t>As this is a change to the business activities of the Company outlined in the Shareholder Agreement, this variation will need majority shareholder approval</w:t>
      </w:r>
      <w:r w:rsidR="006C11B3" w:rsidRPr="00E501EB">
        <w:rPr>
          <w:sz w:val="22"/>
          <w:szCs w:val="22"/>
        </w:rPr>
        <w:t>.</w:t>
      </w:r>
      <w:r w:rsidRPr="00E501EB">
        <w:rPr>
          <w:sz w:val="22"/>
          <w:szCs w:val="22"/>
        </w:rPr>
        <w:t xml:space="preserve"> </w:t>
      </w:r>
    </w:p>
    <w:p w:rsidR="001C322A" w:rsidRPr="00E501EB" w:rsidRDefault="001C322A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E501EB">
        <w:rPr>
          <w:sz w:val="22"/>
          <w:szCs w:val="22"/>
        </w:rPr>
        <w:t>The Committee should note that there are no additional capital requirements for managing UAIFs and forms part of the normal capital adequacy calculations.</w:t>
      </w:r>
    </w:p>
    <w:p w:rsidR="00C91390" w:rsidRPr="00E501EB" w:rsidRDefault="00C91390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E501EB">
        <w:rPr>
          <w:sz w:val="22"/>
          <w:szCs w:val="22"/>
        </w:rPr>
        <w:t xml:space="preserve">Prior to </w:t>
      </w:r>
      <w:r w:rsidR="00644D87" w:rsidRPr="00E501EB">
        <w:rPr>
          <w:sz w:val="22"/>
          <w:szCs w:val="22"/>
        </w:rPr>
        <w:t xml:space="preserve">this report </w:t>
      </w:r>
      <w:r w:rsidR="006C11B3" w:rsidRPr="00E501EB">
        <w:rPr>
          <w:sz w:val="22"/>
          <w:szCs w:val="22"/>
        </w:rPr>
        <w:t xml:space="preserve">coming </w:t>
      </w:r>
      <w:r w:rsidR="001C322A" w:rsidRPr="00E501EB">
        <w:rPr>
          <w:sz w:val="22"/>
          <w:szCs w:val="22"/>
        </w:rPr>
        <w:t>to the PSJC, this proposal has</w:t>
      </w:r>
      <w:r w:rsidRPr="00E501EB">
        <w:rPr>
          <w:sz w:val="22"/>
          <w:szCs w:val="22"/>
        </w:rPr>
        <w:t xml:space="preserve"> </w:t>
      </w:r>
      <w:r w:rsidR="006C11B3" w:rsidRPr="00E501EB">
        <w:rPr>
          <w:sz w:val="22"/>
          <w:szCs w:val="22"/>
        </w:rPr>
        <w:t xml:space="preserve">received </w:t>
      </w:r>
      <w:r w:rsidR="001C322A" w:rsidRPr="00E501EB">
        <w:rPr>
          <w:sz w:val="22"/>
          <w:szCs w:val="22"/>
        </w:rPr>
        <w:t xml:space="preserve">LCIV </w:t>
      </w:r>
      <w:r w:rsidRPr="00E501EB">
        <w:rPr>
          <w:sz w:val="22"/>
          <w:szCs w:val="22"/>
        </w:rPr>
        <w:t xml:space="preserve">Board approval. </w:t>
      </w:r>
    </w:p>
    <w:p w:rsidR="00C91390" w:rsidRPr="00E501EB" w:rsidRDefault="00C91390" w:rsidP="00E501EB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E501EB">
        <w:rPr>
          <w:sz w:val="22"/>
          <w:szCs w:val="22"/>
        </w:rPr>
        <w:t>It should be noted that other</w:t>
      </w:r>
      <w:r w:rsidR="00866050" w:rsidRPr="00E501EB">
        <w:rPr>
          <w:sz w:val="22"/>
          <w:szCs w:val="22"/>
        </w:rPr>
        <w:t xml:space="preserve"> LGPS</w:t>
      </w:r>
      <w:r w:rsidRPr="00E501EB">
        <w:rPr>
          <w:sz w:val="22"/>
          <w:szCs w:val="22"/>
        </w:rPr>
        <w:t xml:space="preserve"> pools have already applied for th</w:t>
      </w:r>
      <w:r w:rsidR="003122ED">
        <w:rPr>
          <w:sz w:val="22"/>
          <w:szCs w:val="22"/>
        </w:rPr>
        <w:t>i</w:t>
      </w:r>
      <w:r w:rsidRPr="00E501EB">
        <w:rPr>
          <w:sz w:val="22"/>
          <w:szCs w:val="22"/>
        </w:rPr>
        <w:t xml:space="preserve">s permission and been successfully approved. </w:t>
      </w:r>
    </w:p>
    <w:p w:rsidR="00C91390" w:rsidRPr="003122ED" w:rsidRDefault="00C91390" w:rsidP="003122ED">
      <w:pPr>
        <w:pStyle w:val="Default"/>
        <w:spacing w:after="120"/>
        <w:rPr>
          <w:b/>
          <w:sz w:val="22"/>
          <w:szCs w:val="22"/>
        </w:rPr>
      </w:pPr>
      <w:r w:rsidRPr="003122ED">
        <w:rPr>
          <w:b/>
          <w:sz w:val="22"/>
          <w:szCs w:val="22"/>
        </w:rPr>
        <w:t>Recommendation</w:t>
      </w:r>
    </w:p>
    <w:p w:rsidR="001C322A" w:rsidRDefault="001C322A" w:rsidP="00866050">
      <w:pPr>
        <w:pStyle w:val="Defaul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Committee is recommended to note and agree that LCIV:</w:t>
      </w:r>
    </w:p>
    <w:p w:rsidR="00C91390" w:rsidRPr="001C322A" w:rsidRDefault="001C322A" w:rsidP="00866050">
      <w:pPr>
        <w:pStyle w:val="Default"/>
        <w:numPr>
          <w:ilvl w:val="0"/>
          <w:numId w:val="44"/>
        </w:numPr>
        <w:spacing w:after="120" w:line="276" w:lineRule="auto"/>
        <w:ind w:left="1156" w:hanging="76"/>
        <w:jc w:val="both"/>
        <w:rPr>
          <w:sz w:val="22"/>
          <w:szCs w:val="22"/>
        </w:rPr>
      </w:pPr>
      <w:r>
        <w:rPr>
          <w:sz w:val="22"/>
          <w:szCs w:val="22"/>
        </w:rPr>
        <w:t>proceed to prepare a resolution for shareholder approval  to extend the activity of the Company</w:t>
      </w:r>
      <w:r w:rsidRPr="00C91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644D87">
        <w:rPr>
          <w:sz w:val="22"/>
          <w:szCs w:val="22"/>
        </w:rPr>
        <w:t xml:space="preserve">manage </w:t>
      </w:r>
      <w:r w:rsidRPr="00C91390">
        <w:rPr>
          <w:sz w:val="22"/>
          <w:szCs w:val="22"/>
        </w:rPr>
        <w:t>unauthorised Alternative Investment Funds (AIFs);</w:t>
      </w:r>
    </w:p>
    <w:p w:rsidR="003122ED" w:rsidRDefault="003122ED">
      <w:pPr>
        <w:rPr>
          <w:rFonts w:ascii="Arial" w:hAnsi="Arial" w:cs="Arial"/>
          <w:b/>
          <w:color w:val="000000"/>
          <w:lang w:eastAsia="en-GB"/>
        </w:rPr>
      </w:pPr>
      <w:r>
        <w:rPr>
          <w:b/>
        </w:rPr>
        <w:br w:type="page"/>
      </w:r>
    </w:p>
    <w:p w:rsidR="003F25E6" w:rsidRDefault="003A341E" w:rsidP="003F25E6">
      <w:pPr>
        <w:pStyle w:val="Default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Financial Implications</w:t>
      </w:r>
    </w:p>
    <w:p w:rsidR="00C91390" w:rsidRPr="001C322A" w:rsidRDefault="006C11B3" w:rsidP="00866050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6C11B3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 xml:space="preserve">are no financial implications for the Variation of Permission submission from the </w:t>
      </w:r>
      <w:r w:rsidRPr="006C11B3">
        <w:rPr>
          <w:rFonts w:ascii="Arial" w:hAnsi="Arial" w:cs="Arial"/>
        </w:rPr>
        <w:t>FCA</w:t>
      </w:r>
      <w:r w:rsidR="001C322A">
        <w:rPr>
          <w:rFonts w:ascii="Arial" w:hAnsi="Arial" w:cs="Arial"/>
        </w:rPr>
        <w:t>. LCIV will</w:t>
      </w:r>
      <w:r>
        <w:rPr>
          <w:rFonts w:ascii="Arial" w:hAnsi="Arial" w:cs="Arial"/>
        </w:rPr>
        <w:t xml:space="preserve"> request Eversheds to review the form prior to submission which will be charged on a time cost basis. </w:t>
      </w:r>
    </w:p>
    <w:p w:rsidR="003F25E6" w:rsidRDefault="003A341E" w:rsidP="003F25E6">
      <w:pPr>
        <w:pStyle w:val="Default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Equalities</w:t>
      </w:r>
      <w:r w:rsidR="00123DB2">
        <w:rPr>
          <w:b/>
          <w:sz w:val="22"/>
          <w:szCs w:val="22"/>
        </w:rPr>
        <w:t xml:space="preserve"> implications</w:t>
      </w:r>
    </w:p>
    <w:p w:rsidR="003A341E" w:rsidRPr="00A03019" w:rsidRDefault="003A341E" w:rsidP="00866050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A03019">
        <w:rPr>
          <w:rFonts w:ascii="Arial" w:hAnsi="Arial" w:cs="Arial"/>
        </w:rPr>
        <w:t>There are no equ</w:t>
      </w:r>
      <w:r w:rsidR="008823C8" w:rsidRPr="00A03019">
        <w:rPr>
          <w:rFonts w:ascii="Arial" w:hAnsi="Arial" w:cs="Arial"/>
        </w:rPr>
        <w:t>alitie</w:t>
      </w:r>
      <w:r w:rsidR="00E25668" w:rsidRPr="00A03019">
        <w:rPr>
          <w:rFonts w:ascii="Arial" w:hAnsi="Arial" w:cs="Arial"/>
        </w:rPr>
        <w:t>s implications for the committee</w:t>
      </w:r>
      <w:r w:rsidR="0050066E" w:rsidRPr="00A03019">
        <w:rPr>
          <w:rFonts w:ascii="Arial" w:hAnsi="Arial" w:cs="Arial"/>
        </w:rPr>
        <w:t>.</w:t>
      </w:r>
    </w:p>
    <w:sectPr w:rsidR="003A341E" w:rsidRPr="00A03019" w:rsidSect="00242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7A" w:rsidRDefault="0086017A" w:rsidP="00A627F4">
      <w:r>
        <w:separator/>
      </w:r>
    </w:p>
  </w:endnote>
  <w:endnote w:type="continuationSeparator" w:id="0">
    <w:p w:rsidR="0086017A" w:rsidRDefault="0086017A" w:rsidP="00A627F4">
      <w:r>
        <w:continuationSeparator/>
      </w:r>
    </w:p>
  </w:endnote>
  <w:endnote w:type="continuationNotice" w:id="1">
    <w:p w:rsidR="0086017A" w:rsidRDefault="00860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7A" w:rsidRDefault="0086017A" w:rsidP="00A627F4">
      <w:r>
        <w:separator/>
      </w:r>
    </w:p>
  </w:footnote>
  <w:footnote w:type="continuationSeparator" w:id="0">
    <w:p w:rsidR="0086017A" w:rsidRDefault="0086017A" w:rsidP="00A627F4">
      <w:r>
        <w:continuationSeparator/>
      </w:r>
    </w:p>
  </w:footnote>
  <w:footnote w:type="continuationNotice" w:id="1">
    <w:p w:rsidR="0086017A" w:rsidRDefault="008601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D" w:rsidRDefault="003122ED">
    <w:pPr>
      <w:pStyle w:val="Header"/>
    </w:pPr>
  </w:p>
  <w:p w:rsidR="003122ED" w:rsidRDefault="00312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D" w:rsidRPr="00CC0B27" w:rsidRDefault="003122ED" w:rsidP="007E3EF4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72741154" wp14:editId="79A31B67">
          <wp:extent cx="2310384" cy="774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dion CIV logo_tight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38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2ED" w:rsidRPr="00CC0B27" w:rsidRDefault="003122ED" w:rsidP="007D562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E01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4005E"/>
    <w:multiLevelType w:val="hybridMultilevel"/>
    <w:tmpl w:val="AA4EEC56"/>
    <w:lvl w:ilvl="0" w:tplc="8894FE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733"/>
    <w:multiLevelType w:val="hybridMultilevel"/>
    <w:tmpl w:val="D60E883C"/>
    <w:lvl w:ilvl="0" w:tplc="653AC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A6EBD"/>
    <w:multiLevelType w:val="hybridMultilevel"/>
    <w:tmpl w:val="3EE2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36D9"/>
    <w:multiLevelType w:val="hybridMultilevel"/>
    <w:tmpl w:val="C5DAB80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C6F41"/>
    <w:multiLevelType w:val="hybridMultilevel"/>
    <w:tmpl w:val="C8CC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31B7B"/>
    <w:multiLevelType w:val="hybridMultilevel"/>
    <w:tmpl w:val="CD9466C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B53D4"/>
    <w:multiLevelType w:val="hybridMultilevel"/>
    <w:tmpl w:val="861C7E50"/>
    <w:lvl w:ilvl="0" w:tplc="653AC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910CC"/>
    <w:multiLevelType w:val="hybridMultilevel"/>
    <w:tmpl w:val="37A06F1A"/>
    <w:lvl w:ilvl="0" w:tplc="653AC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52DD"/>
    <w:multiLevelType w:val="hybridMultilevel"/>
    <w:tmpl w:val="12163098"/>
    <w:lvl w:ilvl="0" w:tplc="1F3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18D1"/>
    <w:multiLevelType w:val="hybridMultilevel"/>
    <w:tmpl w:val="5BECD67E"/>
    <w:lvl w:ilvl="0" w:tplc="029EBB84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B2E437A"/>
    <w:multiLevelType w:val="hybridMultilevel"/>
    <w:tmpl w:val="D96EE47C"/>
    <w:lvl w:ilvl="0" w:tplc="F244DB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6109C"/>
    <w:multiLevelType w:val="hybridMultilevel"/>
    <w:tmpl w:val="3C8ACA3A"/>
    <w:lvl w:ilvl="0" w:tplc="1ABC1614">
      <w:start w:val="2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171752E"/>
    <w:multiLevelType w:val="hybridMultilevel"/>
    <w:tmpl w:val="6900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41F43"/>
    <w:multiLevelType w:val="hybridMultilevel"/>
    <w:tmpl w:val="EB36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B12"/>
    <w:multiLevelType w:val="hybridMultilevel"/>
    <w:tmpl w:val="53B24E1E"/>
    <w:lvl w:ilvl="0" w:tplc="0809000F">
      <w:start w:val="1"/>
      <w:numFmt w:val="decimal"/>
      <w:lvlText w:val="%1."/>
      <w:lvlJc w:val="left"/>
      <w:pPr>
        <w:ind w:left="1087" w:hanging="360"/>
      </w:p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">
    <w:nsid w:val="3A743B3C"/>
    <w:multiLevelType w:val="hybridMultilevel"/>
    <w:tmpl w:val="79320348"/>
    <w:lvl w:ilvl="0" w:tplc="1942815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F8103FF"/>
    <w:multiLevelType w:val="hybridMultilevel"/>
    <w:tmpl w:val="07E88F5A"/>
    <w:lvl w:ilvl="0" w:tplc="A8E0476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13B0"/>
    <w:multiLevelType w:val="hybridMultilevel"/>
    <w:tmpl w:val="133C31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03F73A6"/>
    <w:multiLevelType w:val="hybridMultilevel"/>
    <w:tmpl w:val="D196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01D48"/>
    <w:multiLevelType w:val="hybridMultilevel"/>
    <w:tmpl w:val="0C2C2F32"/>
    <w:lvl w:ilvl="0" w:tplc="653AC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5275E"/>
    <w:multiLevelType w:val="hybridMultilevel"/>
    <w:tmpl w:val="0D08327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A4841"/>
    <w:multiLevelType w:val="hybridMultilevel"/>
    <w:tmpl w:val="9FCAA8B0"/>
    <w:lvl w:ilvl="0" w:tplc="AC26A21C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85755"/>
    <w:multiLevelType w:val="hybridMultilevel"/>
    <w:tmpl w:val="252A3B08"/>
    <w:lvl w:ilvl="0" w:tplc="F172334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646257C"/>
    <w:multiLevelType w:val="hybridMultilevel"/>
    <w:tmpl w:val="78A25E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373D8D"/>
    <w:multiLevelType w:val="hybridMultilevel"/>
    <w:tmpl w:val="8EFA750E"/>
    <w:lvl w:ilvl="0" w:tplc="F62A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96300"/>
    <w:multiLevelType w:val="hybridMultilevel"/>
    <w:tmpl w:val="12163098"/>
    <w:lvl w:ilvl="0" w:tplc="1F3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A0559"/>
    <w:multiLevelType w:val="hybridMultilevel"/>
    <w:tmpl w:val="B042649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D7D22"/>
    <w:multiLevelType w:val="hybridMultilevel"/>
    <w:tmpl w:val="BA8280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0F33D91"/>
    <w:multiLevelType w:val="hybridMultilevel"/>
    <w:tmpl w:val="2B5A6EFE"/>
    <w:lvl w:ilvl="0" w:tplc="D4E4D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33A36"/>
    <w:multiLevelType w:val="hybridMultilevel"/>
    <w:tmpl w:val="1E0061C8"/>
    <w:lvl w:ilvl="0" w:tplc="162AB45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1EE627C"/>
    <w:multiLevelType w:val="hybridMultilevel"/>
    <w:tmpl w:val="01D240F6"/>
    <w:lvl w:ilvl="0" w:tplc="0B10E0C0">
      <w:start w:val="2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>
    <w:nsid w:val="575E66A2"/>
    <w:multiLevelType w:val="hybridMultilevel"/>
    <w:tmpl w:val="305A7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322EA7"/>
    <w:multiLevelType w:val="hybridMultilevel"/>
    <w:tmpl w:val="E2765474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292FAB"/>
    <w:multiLevelType w:val="hybridMultilevel"/>
    <w:tmpl w:val="EE50215E"/>
    <w:lvl w:ilvl="0" w:tplc="653AC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F65E7C"/>
    <w:multiLevelType w:val="hybridMultilevel"/>
    <w:tmpl w:val="49BC35AA"/>
    <w:lvl w:ilvl="0" w:tplc="1F36B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FC0B35"/>
    <w:multiLevelType w:val="hybridMultilevel"/>
    <w:tmpl w:val="2680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56931"/>
    <w:multiLevelType w:val="hybridMultilevel"/>
    <w:tmpl w:val="AC98EB0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39">
    <w:nsid w:val="6FD21300"/>
    <w:multiLevelType w:val="hybridMultilevel"/>
    <w:tmpl w:val="53F8E80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1E1124E"/>
    <w:multiLevelType w:val="hybridMultilevel"/>
    <w:tmpl w:val="F632797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556727"/>
    <w:multiLevelType w:val="hybridMultilevel"/>
    <w:tmpl w:val="154A35D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4D36F7"/>
    <w:multiLevelType w:val="hybridMultilevel"/>
    <w:tmpl w:val="39DE50B0"/>
    <w:lvl w:ilvl="0" w:tplc="653AC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8C7A59"/>
    <w:multiLevelType w:val="hybridMultilevel"/>
    <w:tmpl w:val="DC68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227BE"/>
    <w:multiLevelType w:val="hybridMultilevel"/>
    <w:tmpl w:val="D194AD2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ED00AE"/>
    <w:multiLevelType w:val="hybridMultilevel"/>
    <w:tmpl w:val="7D62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07169"/>
    <w:multiLevelType w:val="hybridMultilevel"/>
    <w:tmpl w:val="E46E071C"/>
    <w:lvl w:ilvl="0" w:tplc="925A09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>
    <w:nsid w:val="7E170549"/>
    <w:multiLevelType w:val="hybridMultilevel"/>
    <w:tmpl w:val="FC1E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4"/>
  </w:num>
  <w:num w:numId="4">
    <w:abstractNumId w:val="38"/>
  </w:num>
  <w:num w:numId="5">
    <w:abstractNumId w:val="28"/>
  </w:num>
  <w:num w:numId="6">
    <w:abstractNumId w:val="39"/>
  </w:num>
  <w:num w:numId="7">
    <w:abstractNumId w:val="37"/>
  </w:num>
  <w:num w:numId="8">
    <w:abstractNumId w:val="18"/>
  </w:num>
  <w:num w:numId="9">
    <w:abstractNumId w:val="12"/>
  </w:num>
  <w:num w:numId="10">
    <w:abstractNumId w:val="27"/>
  </w:num>
  <w:num w:numId="11">
    <w:abstractNumId w:val="16"/>
  </w:num>
  <w:num w:numId="12">
    <w:abstractNumId w:val="46"/>
  </w:num>
  <w:num w:numId="13">
    <w:abstractNumId w:val="29"/>
  </w:num>
  <w:num w:numId="14">
    <w:abstractNumId w:val="32"/>
  </w:num>
  <w:num w:numId="15">
    <w:abstractNumId w:val="23"/>
  </w:num>
  <w:num w:numId="16">
    <w:abstractNumId w:val="30"/>
  </w:num>
  <w:num w:numId="17">
    <w:abstractNumId w:val="22"/>
  </w:num>
  <w:num w:numId="18">
    <w:abstractNumId w:val="34"/>
  </w:num>
  <w:num w:numId="19">
    <w:abstractNumId w:val="21"/>
  </w:num>
  <w:num w:numId="20">
    <w:abstractNumId w:val="7"/>
  </w:num>
  <w:num w:numId="21">
    <w:abstractNumId w:val="25"/>
  </w:num>
  <w:num w:numId="22">
    <w:abstractNumId w:val="19"/>
  </w:num>
  <w:num w:numId="23">
    <w:abstractNumId w:val="47"/>
  </w:num>
  <w:num w:numId="24">
    <w:abstractNumId w:val="3"/>
  </w:num>
  <w:num w:numId="25">
    <w:abstractNumId w:val="5"/>
  </w:num>
  <w:num w:numId="26">
    <w:abstractNumId w:val="45"/>
  </w:num>
  <w:num w:numId="27">
    <w:abstractNumId w:val="20"/>
  </w:num>
  <w:num w:numId="28">
    <w:abstractNumId w:val="13"/>
  </w:num>
  <w:num w:numId="29">
    <w:abstractNumId w:val="43"/>
  </w:num>
  <w:num w:numId="30">
    <w:abstractNumId w:val="4"/>
  </w:num>
  <w:num w:numId="31">
    <w:abstractNumId w:val="36"/>
  </w:num>
  <w:num w:numId="32">
    <w:abstractNumId w:val="14"/>
  </w:num>
  <w:num w:numId="33">
    <w:abstractNumId w:val="8"/>
  </w:num>
  <w:num w:numId="34">
    <w:abstractNumId w:val="1"/>
  </w:num>
  <w:num w:numId="35">
    <w:abstractNumId w:val="2"/>
  </w:num>
  <w:num w:numId="36">
    <w:abstractNumId w:val="11"/>
  </w:num>
  <w:num w:numId="37">
    <w:abstractNumId w:val="33"/>
  </w:num>
  <w:num w:numId="38">
    <w:abstractNumId w:val="6"/>
  </w:num>
  <w:num w:numId="39">
    <w:abstractNumId w:val="41"/>
  </w:num>
  <w:num w:numId="40">
    <w:abstractNumId w:val="42"/>
  </w:num>
  <w:num w:numId="41">
    <w:abstractNumId w:val="35"/>
  </w:num>
  <w:num w:numId="42">
    <w:abstractNumId w:val="26"/>
  </w:num>
  <w:num w:numId="43">
    <w:abstractNumId w:val="9"/>
  </w:num>
  <w:num w:numId="44">
    <w:abstractNumId w:val="40"/>
  </w:num>
  <w:num w:numId="45">
    <w:abstractNumId w:val="15"/>
  </w:num>
  <w:num w:numId="46">
    <w:abstractNumId w:val="17"/>
  </w:num>
  <w:num w:numId="47">
    <w:abstractNumId w:val="10"/>
  </w:num>
  <w:num w:numId="48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E"/>
    <w:rsid w:val="00002B13"/>
    <w:rsid w:val="00004A71"/>
    <w:rsid w:val="00006C6F"/>
    <w:rsid w:val="00007FBD"/>
    <w:rsid w:val="000122A2"/>
    <w:rsid w:val="000124B0"/>
    <w:rsid w:val="00012D69"/>
    <w:rsid w:val="00013EF2"/>
    <w:rsid w:val="00014D12"/>
    <w:rsid w:val="00014E99"/>
    <w:rsid w:val="00016370"/>
    <w:rsid w:val="00025B53"/>
    <w:rsid w:val="000302BA"/>
    <w:rsid w:val="00031595"/>
    <w:rsid w:val="00033F28"/>
    <w:rsid w:val="00036439"/>
    <w:rsid w:val="0003654D"/>
    <w:rsid w:val="00044CD2"/>
    <w:rsid w:val="0004679F"/>
    <w:rsid w:val="0004730C"/>
    <w:rsid w:val="00050367"/>
    <w:rsid w:val="0005067A"/>
    <w:rsid w:val="0005085D"/>
    <w:rsid w:val="0005569F"/>
    <w:rsid w:val="00055EDE"/>
    <w:rsid w:val="00063D24"/>
    <w:rsid w:val="00064F4F"/>
    <w:rsid w:val="00066A23"/>
    <w:rsid w:val="000756BE"/>
    <w:rsid w:val="00075C98"/>
    <w:rsid w:val="000837ED"/>
    <w:rsid w:val="00086763"/>
    <w:rsid w:val="000907EB"/>
    <w:rsid w:val="00093021"/>
    <w:rsid w:val="000949A0"/>
    <w:rsid w:val="000966C4"/>
    <w:rsid w:val="000A0EAB"/>
    <w:rsid w:val="000A46F8"/>
    <w:rsid w:val="000A6A82"/>
    <w:rsid w:val="000B3C6F"/>
    <w:rsid w:val="000C0C4B"/>
    <w:rsid w:val="000C1899"/>
    <w:rsid w:val="000C34B6"/>
    <w:rsid w:val="000C371A"/>
    <w:rsid w:val="000C4FC1"/>
    <w:rsid w:val="000D011D"/>
    <w:rsid w:val="000D0F16"/>
    <w:rsid w:val="000D402F"/>
    <w:rsid w:val="000D5AB5"/>
    <w:rsid w:val="000D6E82"/>
    <w:rsid w:val="000E2DC5"/>
    <w:rsid w:val="000F2313"/>
    <w:rsid w:val="000F561C"/>
    <w:rsid w:val="000F7B62"/>
    <w:rsid w:val="00100D26"/>
    <w:rsid w:val="00104C15"/>
    <w:rsid w:val="00106645"/>
    <w:rsid w:val="00107150"/>
    <w:rsid w:val="00123DB2"/>
    <w:rsid w:val="00136F2E"/>
    <w:rsid w:val="001434DC"/>
    <w:rsid w:val="00145335"/>
    <w:rsid w:val="00146676"/>
    <w:rsid w:val="00147C2C"/>
    <w:rsid w:val="00150BCA"/>
    <w:rsid w:val="00153FF4"/>
    <w:rsid w:val="0015662F"/>
    <w:rsid w:val="00160CA5"/>
    <w:rsid w:val="001640C5"/>
    <w:rsid w:val="00170198"/>
    <w:rsid w:val="00171FED"/>
    <w:rsid w:val="00172E04"/>
    <w:rsid w:val="001839F9"/>
    <w:rsid w:val="001869A9"/>
    <w:rsid w:val="00190AD7"/>
    <w:rsid w:val="00190B1B"/>
    <w:rsid w:val="001A1CCE"/>
    <w:rsid w:val="001A29D9"/>
    <w:rsid w:val="001A340A"/>
    <w:rsid w:val="001A47E8"/>
    <w:rsid w:val="001B02EC"/>
    <w:rsid w:val="001B115A"/>
    <w:rsid w:val="001B493A"/>
    <w:rsid w:val="001C2357"/>
    <w:rsid w:val="001C322A"/>
    <w:rsid w:val="001C329C"/>
    <w:rsid w:val="001C3E77"/>
    <w:rsid w:val="001C4014"/>
    <w:rsid w:val="001C75F2"/>
    <w:rsid w:val="001C7B9C"/>
    <w:rsid w:val="001D3A63"/>
    <w:rsid w:val="001D3AD7"/>
    <w:rsid w:val="001D7059"/>
    <w:rsid w:val="001D77D2"/>
    <w:rsid w:val="001E09DD"/>
    <w:rsid w:val="001E3A3C"/>
    <w:rsid w:val="001E5D39"/>
    <w:rsid w:val="001F072F"/>
    <w:rsid w:val="001F30E5"/>
    <w:rsid w:val="001F6D25"/>
    <w:rsid w:val="001F6D2E"/>
    <w:rsid w:val="0020323C"/>
    <w:rsid w:val="00204EFF"/>
    <w:rsid w:val="00212023"/>
    <w:rsid w:val="002200A1"/>
    <w:rsid w:val="00220917"/>
    <w:rsid w:val="002209CC"/>
    <w:rsid w:val="002218E1"/>
    <w:rsid w:val="00221CD3"/>
    <w:rsid w:val="00222BEA"/>
    <w:rsid w:val="00224AD7"/>
    <w:rsid w:val="00233753"/>
    <w:rsid w:val="00235C13"/>
    <w:rsid w:val="00236360"/>
    <w:rsid w:val="002370F6"/>
    <w:rsid w:val="00241C83"/>
    <w:rsid w:val="0024296D"/>
    <w:rsid w:val="00242B50"/>
    <w:rsid w:val="00247167"/>
    <w:rsid w:val="00263A1D"/>
    <w:rsid w:val="00273176"/>
    <w:rsid w:val="0027536D"/>
    <w:rsid w:val="002769BB"/>
    <w:rsid w:val="00281014"/>
    <w:rsid w:val="002812C2"/>
    <w:rsid w:val="002813E4"/>
    <w:rsid w:val="00281FFE"/>
    <w:rsid w:val="002821E7"/>
    <w:rsid w:val="00284665"/>
    <w:rsid w:val="0028492C"/>
    <w:rsid w:val="002933F3"/>
    <w:rsid w:val="00293B8D"/>
    <w:rsid w:val="002A09C1"/>
    <w:rsid w:val="002A3600"/>
    <w:rsid w:val="002A3E94"/>
    <w:rsid w:val="002A4792"/>
    <w:rsid w:val="002A4C78"/>
    <w:rsid w:val="002B005D"/>
    <w:rsid w:val="002B0651"/>
    <w:rsid w:val="002B22AF"/>
    <w:rsid w:val="002B56FA"/>
    <w:rsid w:val="002C272C"/>
    <w:rsid w:val="002D07E8"/>
    <w:rsid w:val="002D0C4B"/>
    <w:rsid w:val="002D36F5"/>
    <w:rsid w:val="002D398F"/>
    <w:rsid w:val="002D7A29"/>
    <w:rsid w:val="002E1865"/>
    <w:rsid w:val="002E23BE"/>
    <w:rsid w:val="002F5162"/>
    <w:rsid w:val="003026D9"/>
    <w:rsid w:val="003034F0"/>
    <w:rsid w:val="00310F36"/>
    <w:rsid w:val="003122ED"/>
    <w:rsid w:val="0031569B"/>
    <w:rsid w:val="0031590F"/>
    <w:rsid w:val="00323829"/>
    <w:rsid w:val="00323CC4"/>
    <w:rsid w:val="0032627A"/>
    <w:rsid w:val="00331FE9"/>
    <w:rsid w:val="0033609B"/>
    <w:rsid w:val="003457E2"/>
    <w:rsid w:val="00347A30"/>
    <w:rsid w:val="003511FC"/>
    <w:rsid w:val="003522EB"/>
    <w:rsid w:val="00352B5F"/>
    <w:rsid w:val="00363277"/>
    <w:rsid w:val="00363374"/>
    <w:rsid w:val="00365D3E"/>
    <w:rsid w:val="00366808"/>
    <w:rsid w:val="003668CC"/>
    <w:rsid w:val="0037667C"/>
    <w:rsid w:val="00381CDC"/>
    <w:rsid w:val="00385600"/>
    <w:rsid w:val="003957D2"/>
    <w:rsid w:val="003A341E"/>
    <w:rsid w:val="003A69E8"/>
    <w:rsid w:val="003A6FB2"/>
    <w:rsid w:val="003A7DD0"/>
    <w:rsid w:val="003B5ACE"/>
    <w:rsid w:val="003B74B1"/>
    <w:rsid w:val="003C2FD4"/>
    <w:rsid w:val="003D05A5"/>
    <w:rsid w:val="003D1FB3"/>
    <w:rsid w:val="003D7DCB"/>
    <w:rsid w:val="003D7E00"/>
    <w:rsid w:val="003E17F5"/>
    <w:rsid w:val="003E2E0F"/>
    <w:rsid w:val="003E452E"/>
    <w:rsid w:val="003E4CE6"/>
    <w:rsid w:val="003E6CFA"/>
    <w:rsid w:val="003E706B"/>
    <w:rsid w:val="003E7562"/>
    <w:rsid w:val="003E78D5"/>
    <w:rsid w:val="003F0896"/>
    <w:rsid w:val="003F23D8"/>
    <w:rsid w:val="003F25E6"/>
    <w:rsid w:val="003F5D01"/>
    <w:rsid w:val="004046D3"/>
    <w:rsid w:val="00405734"/>
    <w:rsid w:val="00405F84"/>
    <w:rsid w:val="00406D86"/>
    <w:rsid w:val="00411705"/>
    <w:rsid w:val="00415B28"/>
    <w:rsid w:val="0041682E"/>
    <w:rsid w:val="00416DC7"/>
    <w:rsid w:val="00422E09"/>
    <w:rsid w:val="004235CB"/>
    <w:rsid w:val="00425137"/>
    <w:rsid w:val="0042701F"/>
    <w:rsid w:val="00431DF9"/>
    <w:rsid w:val="00433B61"/>
    <w:rsid w:val="0043596C"/>
    <w:rsid w:val="00436BE7"/>
    <w:rsid w:val="0044339C"/>
    <w:rsid w:val="00453232"/>
    <w:rsid w:val="00460412"/>
    <w:rsid w:val="004604A9"/>
    <w:rsid w:val="004648F5"/>
    <w:rsid w:val="0046662D"/>
    <w:rsid w:val="00467116"/>
    <w:rsid w:val="00474B18"/>
    <w:rsid w:val="00475595"/>
    <w:rsid w:val="00476942"/>
    <w:rsid w:val="004801C5"/>
    <w:rsid w:val="00487846"/>
    <w:rsid w:val="004A34F2"/>
    <w:rsid w:val="004A3600"/>
    <w:rsid w:val="004A3747"/>
    <w:rsid w:val="004A3D74"/>
    <w:rsid w:val="004A4F54"/>
    <w:rsid w:val="004A769F"/>
    <w:rsid w:val="004A7D3F"/>
    <w:rsid w:val="004A7E4B"/>
    <w:rsid w:val="004B7C05"/>
    <w:rsid w:val="004C2FD6"/>
    <w:rsid w:val="004C5B00"/>
    <w:rsid w:val="004C7747"/>
    <w:rsid w:val="004D049F"/>
    <w:rsid w:val="004E18B5"/>
    <w:rsid w:val="004E2CCE"/>
    <w:rsid w:val="004E2FB3"/>
    <w:rsid w:val="004E59BB"/>
    <w:rsid w:val="004E7B91"/>
    <w:rsid w:val="004F39F7"/>
    <w:rsid w:val="004F6267"/>
    <w:rsid w:val="004F70E9"/>
    <w:rsid w:val="0050066E"/>
    <w:rsid w:val="00501DFA"/>
    <w:rsid w:val="005029FA"/>
    <w:rsid w:val="005047EC"/>
    <w:rsid w:val="00504AFF"/>
    <w:rsid w:val="00505E49"/>
    <w:rsid w:val="00507357"/>
    <w:rsid w:val="00511D6D"/>
    <w:rsid w:val="00513CC1"/>
    <w:rsid w:val="0051506D"/>
    <w:rsid w:val="00515605"/>
    <w:rsid w:val="005255C4"/>
    <w:rsid w:val="00527257"/>
    <w:rsid w:val="00535E5B"/>
    <w:rsid w:val="005362E5"/>
    <w:rsid w:val="00536F0E"/>
    <w:rsid w:val="005462D9"/>
    <w:rsid w:val="00546EDC"/>
    <w:rsid w:val="00550E4A"/>
    <w:rsid w:val="00566A5A"/>
    <w:rsid w:val="005676BD"/>
    <w:rsid w:val="00574F9A"/>
    <w:rsid w:val="00582BF8"/>
    <w:rsid w:val="00583E09"/>
    <w:rsid w:val="005847B3"/>
    <w:rsid w:val="00585B65"/>
    <w:rsid w:val="00586E9A"/>
    <w:rsid w:val="005929BA"/>
    <w:rsid w:val="0059401D"/>
    <w:rsid w:val="005940EB"/>
    <w:rsid w:val="00595A2C"/>
    <w:rsid w:val="00596086"/>
    <w:rsid w:val="005A1591"/>
    <w:rsid w:val="005A7F4F"/>
    <w:rsid w:val="005B0818"/>
    <w:rsid w:val="005B66E3"/>
    <w:rsid w:val="005B6D4E"/>
    <w:rsid w:val="005C08D2"/>
    <w:rsid w:val="005C2F3A"/>
    <w:rsid w:val="005C394C"/>
    <w:rsid w:val="005C5194"/>
    <w:rsid w:val="005D0D3A"/>
    <w:rsid w:val="005D2989"/>
    <w:rsid w:val="005D2FED"/>
    <w:rsid w:val="005D594D"/>
    <w:rsid w:val="005D7BB0"/>
    <w:rsid w:val="005E74C7"/>
    <w:rsid w:val="00601890"/>
    <w:rsid w:val="00604C72"/>
    <w:rsid w:val="00610905"/>
    <w:rsid w:val="00610B1F"/>
    <w:rsid w:val="00613104"/>
    <w:rsid w:val="00616FF9"/>
    <w:rsid w:val="00623F60"/>
    <w:rsid w:val="006259D5"/>
    <w:rsid w:val="00626122"/>
    <w:rsid w:val="00631BD2"/>
    <w:rsid w:val="0064141E"/>
    <w:rsid w:val="00642DEE"/>
    <w:rsid w:val="006433EE"/>
    <w:rsid w:val="00644BC3"/>
    <w:rsid w:val="00644D87"/>
    <w:rsid w:val="00646061"/>
    <w:rsid w:val="006465D2"/>
    <w:rsid w:val="0064796C"/>
    <w:rsid w:val="00650FD6"/>
    <w:rsid w:val="00651321"/>
    <w:rsid w:val="00651994"/>
    <w:rsid w:val="00657A61"/>
    <w:rsid w:val="00662C81"/>
    <w:rsid w:val="00663A6C"/>
    <w:rsid w:val="00664227"/>
    <w:rsid w:val="00664266"/>
    <w:rsid w:val="00666BCE"/>
    <w:rsid w:val="00666DBF"/>
    <w:rsid w:val="00667E91"/>
    <w:rsid w:val="006702E4"/>
    <w:rsid w:val="006834A0"/>
    <w:rsid w:val="00687B4E"/>
    <w:rsid w:val="00690281"/>
    <w:rsid w:val="00693BC8"/>
    <w:rsid w:val="006A1DA0"/>
    <w:rsid w:val="006A387E"/>
    <w:rsid w:val="006A62DF"/>
    <w:rsid w:val="006B32F7"/>
    <w:rsid w:val="006C0426"/>
    <w:rsid w:val="006C11B3"/>
    <w:rsid w:val="006C7104"/>
    <w:rsid w:val="006C7DE0"/>
    <w:rsid w:val="006D28DB"/>
    <w:rsid w:val="006D6058"/>
    <w:rsid w:val="006D7C3B"/>
    <w:rsid w:val="006E0174"/>
    <w:rsid w:val="006E0ED8"/>
    <w:rsid w:val="006E405A"/>
    <w:rsid w:val="006F4599"/>
    <w:rsid w:val="006F4DB0"/>
    <w:rsid w:val="006F5F59"/>
    <w:rsid w:val="006F6F53"/>
    <w:rsid w:val="00710B12"/>
    <w:rsid w:val="007117FE"/>
    <w:rsid w:val="00713902"/>
    <w:rsid w:val="00713F61"/>
    <w:rsid w:val="0071518C"/>
    <w:rsid w:val="00715C5F"/>
    <w:rsid w:val="00716854"/>
    <w:rsid w:val="00721978"/>
    <w:rsid w:val="00724F03"/>
    <w:rsid w:val="00725FC6"/>
    <w:rsid w:val="00730CD7"/>
    <w:rsid w:val="00731508"/>
    <w:rsid w:val="00735EA3"/>
    <w:rsid w:val="0074421C"/>
    <w:rsid w:val="00746D17"/>
    <w:rsid w:val="00747486"/>
    <w:rsid w:val="00755CA6"/>
    <w:rsid w:val="00755E10"/>
    <w:rsid w:val="00760BE6"/>
    <w:rsid w:val="007612FD"/>
    <w:rsid w:val="007630E1"/>
    <w:rsid w:val="007639EB"/>
    <w:rsid w:val="00771161"/>
    <w:rsid w:val="0077491E"/>
    <w:rsid w:val="0078177C"/>
    <w:rsid w:val="0078225D"/>
    <w:rsid w:val="00783036"/>
    <w:rsid w:val="007854CA"/>
    <w:rsid w:val="007867A5"/>
    <w:rsid w:val="007876EA"/>
    <w:rsid w:val="007920F6"/>
    <w:rsid w:val="007A315F"/>
    <w:rsid w:val="007A49C7"/>
    <w:rsid w:val="007A6B22"/>
    <w:rsid w:val="007C0DCF"/>
    <w:rsid w:val="007C445A"/>
    <w:rsid w:val="007C5126"/>
    <w:rsid w:val="007C5434"/>
    <w:rsid w:val="007C7356"/>
    <w:rsid w:val="007D2102"/>
    <w:rsid w:val="007D5622"/>
    <w:rsid w:val="007D6361"/>
    <w:rsid w:val="007E13F0"/>
    <w:rsid w:val="007E179F"/>
    <w:rsid w:val="007E3EF4"/>
    <w:rsid w:val="007E512C"/>
    <w:rsid w:val="007E7FB5"/>
    <w:rsid w:val="007E7FD3"/>
    <w:rsid w:val="007F14BE"/>
    <w:rsid w:val="007F7EFD"/>
    <w:rsid w:val="00803592"/>
    <w:rsid w:val="00804344"/>
    <w:rsid w:val="00805958"/>
    <w:rsid w:val="00806E45"/>
    <w:rsid w:val="00807818"/>
    <w:rsid w:val="0081188C"/>
    <w:rsid w:val="00822B63"/>
    <w:rsid w:val="008323AA"/>
    <w:rsid w:val="00832550"/>
    <w:rsid w:val="00833294"/>
    <w:rsid w:val="0083603E"/>
    <w:rsid w:val="0083736E"/>
    <w:rsid w:val="00845320"/>
    <w:rsid w:val="008453AA"/>
    <w:rsid w:val="008454F3"/>
    <w:rsid w:val="00846321"/>
    <w:rsid w:val="00846DC0"/>
    <w:rsid w:val="00854932"/>
    <w:rsid w:val="0086017A"/>
    <w:rsid w:val="00860336"/>
    <w:rsid w:val="0086284E"/>
    <w:rsid w:val="00864CBE"/>
    <w:rsid w:val="00864FEA"/>
    <w:rsid w:val="00866050"/>
    <w:rsid w:val="00871B31"/>
    <w:rsid w:val="008823C8"/>
    <w:rsid w:val="008858E5"/>
    <w:rsid w:val="00886C5E"/>
    <w:rsid w:val="00893F6B"/>
    <w:rsid w:val="008946A3"/>
    <w:rsid w:val="008A0A02"/>
    <w:rsid w:val="008A5CA5"/>
    <w:rsid w:val="008A6087"/>
    <w:rsid w:val="008B0D7F"/>
    <w:rsid w:val="008B36BC"/>
    <w:rsid w:val="008C2481"/>
    <w:rsid w:val="008C3148"/>
    <w:rsid w:val="008C3EEF"/>
    <w:rsid w:val="008C465D"/>
    <w:rsid w:val="008C5149"/>
    <w:rsid w:val="008C5759"/>
    <w:rsid w:val="008D12D8"/>
    <w:rsid w:val="008D4C38"/>
    <w:rsid w:val="008E434D"/>
    <w:rsid w:val="008E58A6"/>
    <w:rsid w:val="008E5E18"/>
    <w:rsid w:val="008F7C1D"/>
    <w:rsid w:val="00903357"/>
    <w:rsid w:val="00906263"/>
    <w:rsid w:val="00915D94"/>
    <w:rsid w:val="00917117"/>
    <w:rsid w:val="00917299"/>
    <w:rsid w:val="00921911"/>
    <w:rsid w:val="00932223"/>
    <w:rsid w:val="00937875"/>
    <w:rsid w:val="0094070D"/>
    <w:rsid w:val="00941B41"/>
    <w:rsid w:val="009420CF"/>
    <w:rsid w:val="00944D3E"/>
    <w:rsid w:val="00952981"/>
    <w:rsid w:val="00954D5C"/>
    <w:rsid w:val="00963E7B"/>
    <w:rsid w:val="00965293"/>
    <w:rsid w:val="0096633F"/>
    <w:rsid w:val="00967020"/>
    <w:rsid w:val="00972B26"/>
    <w:rsid w:val="00973613"/>
    <w:rsid w:val="009811BA"/>
    <w:rsid w:val="00990CA1"/>
    <w:rsid w:val="00992BDC"/>
    <w:rsid w:val="009A222E"/>
    <w:rsid w:val="009A2E7C"/>
    <w:rsid w:val="009A477F"/>
    <w:rsid w:val="009A4F21"/>
    <w:rsid w:val="009B1E82"/>
    <w:rsid w:val="009B66B0"/>
    <w:rsid w:val="009B74A1"/>
    <w:rsid w:val="009B7821"/>
    <w:rsid w:val="009C132B"/>
    <w:rsid w:val="009C7763"/>
    <w:rsid w:val="009E1E0D"/>
    <w:rsid w:val="009E2572"/>
    <w:rsid w:val="009E2C23"/>
    <w:rsid w:val="009E5329"/>
    <w:rsid w:val="009F01BC"/>
    <w:rsid w:val="009F0C96"/>
    <w:rsid w:val="009F552B"/>
    <w:rsid w:val="009F74DD"/>
    <w:rsid w:val="009F7843"/>
    <w:rsid w:val="009F7CF8"/>
    <w:rsid w:val="00A00ADF"/>
    <w:rsid w:val="00A02A51"/>
    <w:rsid w:val="00A03019"/>
    <w:rsid w:val="00A0483F"/>
    <w:rsid w:val="00A07B32"/>
    <w:rsid w:val="00A16105"/>
    <w:rsid w:val="00A16E81"/>
    <w:rsid w:val="00A244B4"/>
    <w:rsid w:val="00A25C98"/>
    <w:rsid w:val="00A31951"/>
    <w:rsid w:val="00A3438E"/>
    <w:rsid w:val="00A36355"/>
    <w:rsid w:val="00A369A9"/>
    <w:rsid w:val="00A36E91"/>
    <w:rsid w:val="00A42CC0"/>
    <w:rsid w:val="00A460F4"/>
    <w:rsid w:val="00A47E05"/>
    <w:rsid w:val="00A508A6"/>
    <w:rsid w:val="00A57748"/>
    <w:rsid w:val="00A614FF"/>
    <w:rsid w:val="00A627F4"/>
    <w:rsid w:val="00A65703"/>
    <w:rsid w:val="00A667FE"/>
    <w:rsid w:val="00A716CA"/>
    <w:rsid w:val="00A76A98"/>
    <w:rsid w:val="00A81287"/>
    <w:rsid w:val="00A81E6D"/>
    <w:rsid w:val="00A81EFB"/>
    <w:rsid w:val="00A841A1"/>
    <w:rsid w:val="00A84470"/>
    <w:rsid w:val="00A84675"/>
    <w:rsid w:val="00A91F33"/>
    <w:rsid w:val="00AA020E"/>
    <w:rsid w:val="00AA204E"/>
    <w:rsid w:val="00AA23F3"/>
    <w:rsid w:val="00AA3442"/>
    <w:rsid w:val="00AA597B"/>
    <w:rsid w:val="00AA677E"/>
    <w:rsid w:val="00AA7E40"/>
    <w:rsid w:val="00AB1FC7"/>
    <w:rsid w:val="00AB7669"/>
    <w:rsid w:val="00AC050E"/>
    <w:rsid w:val="00AC3771"/>
    <w:rsid w:val="00AD28B5"/>
    <w:rsid w:val="00AE7B82"/>
    <w:rsid w:val="00AF53C2"/>
    <w:rsid w:val="00AF6969"/>
    <w:rsid w:val="00AF70DF"/>
    <w:rsid w:val="00B02EB9"/>
    <w:rsid w:val="00B07569"/>
    <w:rsid w:val="00B130A8"/>
    <w:rsid w:val="00B1692D"/>
    <w:rsid w:val="00B16B63"/>
    <w:rsid w:val="00B26464"/>
    <w:rsid w:val="00B30488"/>
    <w:rsid w:val="00B31CA9"/>
    <w:rsid w:val="00B31CBC"/>
    <w:rsid w:val="00B40A60"/>
    <w:rsid w:val="00B40B52"/>
    <w:rsid w:val="00B43C18"/>
    <w:rsid w:val="00B4675A"/>
    <w:rsid w:val="00B4788E"/>
    <w:rsid w:val="00B47E9F"/>
    <w:rsid w:val="00B53ED6"/>
    <w:rsid w:val="00B54550"/>
    <w:rsid w:val="00B5604A"/>
    <w:rsid w:val="00B62903"/>
    <w:rsid w:val="00B70559"/>
    <w:rsid w:val="00B720CD"/>
    <w:rsid w:val="00B72E50"/>
    <w:rsid w:val="00B7408B"/>
    <w:rsid w:val="00B750E6"/>
    <w:rsid w:val="00B76C5B"/>
    <w:rsid w:val="00B770EE"/>
    <w:rsid w:val="00B8665B"/>
    <w:rsid w:val="00B877D1"/>
    <w:rsid w:val="00B901CE"/>
    <w:rsid w:val="00B90C38"/>
    <w:rsid w:val="00B91BE1"/>
    <w:rsid w:val="00B92F20"/>
    <w:rsid w:val="00BA362F"/>
    <w:rsid w:val="00BA60BA"/>
    <w:rsid w:val="00BA7953"/>
    <w:rsid w:val="00BB238F"/>
    <w:rsid w:val="00BB5D91"/>
    <w:rsid w:val="00BB7CCA"/>
    <w:rsid w:val="00BC4CCA"/>
    <w:rsid w:val="00BC4DCE"/>
    <w:rsid w:val="00BD10ED"/>
    <w:rsid w:val="00BD1AA9"/>
    <w:rsid w:val="00BD3531"/>
    <w:rsid w:val="00BD411B"/>
    <w:rsid w:val="00BE3EE6"/>
    <w:rsid w:val="00BE4576"/>
    <w:rsid w:val="00BE6308"/>
    <w:rsid w:val="00BE797F"/>
    <w:rsid w:val="00BF0576"/>
    <w:rsid w:val="00BF4FB3"/>
    <w:rsid w:val="00BF5334"/>
    <w:rsid w:val="00C00B29"/>
    <w:rsid w:val="00C05C34"/>
    <w:rsid w:val="00C06FA9"/>
    <w:rsid w:val="00C130FA"/>
    <w:rsid w:val="00C14919"/>
    <w:rsid w:val="00C34622"/>
    <w:rsid w:val="00C43DD0"/>
    <w:rsid w:val="00C453C3"/>
    <w:rsid w:val="00C45C25"/>
    <w:rsid w:val="00C469AA"/>
    <w:rsid w:val="00C46DE8"/>
    <w:rsid w:val="00C51A2C"/>
    <w:rsid w:val="00C54050"/>
    <w:rsid w:val="00C57050"/>
    <w:rsid w:val="00C57B5E"/>
    <w:rsid w:val="00C57C6C"/>
    <w:rsid w:val="00C624CA"/>
    <w:rsid w:val="00C675C9"/>
    <w:rsid w:val="00C718CA"/>
    <w:rsid w:val="00C744D0"/>
    <w:rsid w:val="00C761A8"/>
    <w:rsid w:val="00C772A2"/>
    <w:rsid w:val="00C8051D"/>
    <w:rsid w:val="00C8077E"/>
    <w:rsid w:val="00C82700"/>
    <w:rsid w:val="00C838E8"/>
    <w:rsid w:val="00C84A12"/>
    <w:rsid w:val="00C869A3"/>
    <w:rsid w:val="00C91390"/>
    <w:rsid w:val="00C916F5"/>
    <w:rsid w:val="00C929FC"/>
    <w:rsid w:val="00C937CD"/>
    <w:rsid w:val="00C93FEA"/>
    <w:rsid w:val="00C94F29"/>
    <w:rsid w:val="00C957FA"/>
    <w:rsid w:val="00CB1354"/>
    <w:rsid w:val="00CB1793"/>
    <w:rsid w:val="00CB416C"/>
    <w:rsid w:val="00CB46A9"/>
    <w:rsid w:val="00CB5C74"/>
    <w:rsid w:val="00CC00C7"/>
    <w:rsid w:val="00CD40D8"/>
    <w:rsid w:val="00CD552B"/>
    <w:rsid w:val="00CE2F73"/>
    <w:rsid w:val="00CF2B78"/>
    <w:rsid w:val="00CF37F7"/>
    <w:rsid w:val="00CF5620"/>
    <w:rsid w:val="00CF5B2C"/>
    <w:rsid w:val="00CF7034"/>
    <w:rsid w:val="00D0359B"/>
    <w:rsid w:val="00D05BD8"/>
    <w:rsid w:val="00D07A61"/>
    <w:rsid w:val="00D1253D"/>
    <w:rsid w:val="00D1316E"/>
    <w:rsid w:val="00D211C9"/>
    <w:rsid w:val="00D21359"/>
    <w:rsid w:val="00D245D6"/>
    <w:rsid w:val="00D267B5"/>
    <w:rsid w:val="00D30F00"/>
    <w:rsid w:val="00D346FA"/>
    <w:rsid w:val="00D35BEE"/>
    <w:rsid w:val="00D3683D"/>
    <w:rsid w:val="00D37D02"/>
    <w:rsid w:val="00D44259"/>
    <w:rsid w:val="00D517B1"/>
    <w:rsid w:val="00D53B08"/>
    <w:rsid w:val="00D577F2"/>
    <w:rsid w:val="00D627C0"/>
    <w:rsid w:val="00D67813"/>
    <w:rsid w:val="00D67A51"/>
    <w:rsid w:val="00D70215"/>
    <w:rsid w:val="00D74500"/>
    <w:rsid w:val="00D7535F"/>
    <w:rsid w:val="00D76D4A"/>
    <w:rsid w:val="00D8519B"/>
    <w:rsid w:val="00D94128"/>
    <w:rsid w:val="00D9457C"/>
    <w:rsid w:val="00D97CEB"/>
    <w:rsid w:val="00DA284D"/>
    <w:rsid w:val="00DA3729"/>
    <w:rsid w:val="00DA45DF"/>
    <w:rsid w:val="00DA73AD"/>
    <w:rsid w:val="00DA7CC7"/>
    <w:rsid w:val="00DB1D85"/>
    <w:rsid w:val="00DC4A98"/>
    <w:rsid w:val="00DC5600"/>
    <w:rsid w:val="00DD209B"/>
    <w:rsid w:val="00DD3A7A"/>
    <w:rsid w:val="00DD6BC5"/>
    <w:rsid w:val="00DE026F"/>
    <w:rsid w:val="00DE09A5"/>
    <w:rsid w:val="00DE190C"/>
    <w:rsid w:val="00DE1EE7"/>
    <w:rsid w:val="00DE3F00"/>
    <w:rsid w:val="00DE6CAF"/>
    <w:rsid w:val="00DE6FEB"/>
    <w:rsid w:val="00DF1C64"/>
    <w:rsid w:val="00DF21E1"/>
    <w:rsid w:val="00E009AA"/>
    <w:rsid w:val="00E051E0"/>
    <w:rsid w:val="00E1205F"/>
    <w:rsid w:val="00E159EA"/>
    <w:rsid w:val="00E15A80"/>
    <w:rsid w:val="00E17EB5"/>
    <w:rsid w:val="00E21C40"/>
    <w:rsid w:val="00E23EA8"/>
    <w:rsid w:val="00E25668"/>
    <w:rsid w:val="00E257EE"/>
    <w:rsid w:val="00E36C0B"/>
    <w:rsid w:val="00E40343"/>
    <w:rsid w:val="00E41C43"/>
    <w:rsid w:val="00E43F53"/>
    <w:rsid w:val="00E45114"/>
    <w:rsid w:val="00E501EB"/>
    <w:rsid w:val="00E541B0"/>
    <w:rsid w:val="00E55378"/>
    <w:rsid w:val="00E555CE"/>
    <w:rsid w:val="00E65EC0"/>
    <w:rsid w:val="00E662A7"/>
    <w:rsid w:val="00E6798E"/>
    <w:rsid w:val="00E71A8C"/>
    <w:rsid w:val="00E73541"/>
    <w:rsid w:val="00E738B3"/>
    <w:rsid w:val="00E73A08"/>
    <w:rsid w:val="00E77FA7"/>
    <w:rsid w:val="00E8459A"/>
    <w:rsid w:val="00E846E8"/>
    <w:rsid w:val="00E864FB"/>
    <w:rsid w:val="00E87381"/>
    <w:rsid w:val="00E908AC"/>
    <w:rsid w:val="00E942B3"/>
    <w:rsid w:val="00E970AD"/>
    <w:rsid w:val="00E9768F"/>
    <w:rsid w:val="00EA326D"/>
    <w:rsid w:val="00EA4FDA"/>
    <w:rsid w:val="00EA7486"/>
    <w:rsid w:val="00EB6B1F"/>
    <w:rsid w:val="00EB6C3A"/>
    <w:rsid w:val="00EB71B8"/>
    <w:rsid w:val="00EB72A5"/>
    <w:rsid w:val="00EB7744"/>
    <w:rsid w:val="00EC037C"/>
    <w:rsid w:val="00EC477B"/>
    <w:rsid w:val="00EC67B2"/>
    <w:rsid w:val="00EC7620"/>
    <w:rsid w:val="00ED1A34"/>
    <w:rsid w:val="00ED2D19"/>
    <w:rsid w:val="00ED52F3"/>
    <w:rsid w:val="00EE2C9C"/>
    <w:rsid w:val="00EE49D2"/>
    <w:rsid w:val="00EE53A4"/>
    <w:rsid w:val="00EE59F5"/>
    <w:rsid w:val="00EE5A41"/>
    <w:rsid w:val="00EE794A"/>
    <w:rsid w:val="00EF02F5"/>
    <w:rsid w:val="00EF04CD"/>
    <w:rsid w:val="00EF4342"/>
    <w:rsid w:val="00EF6357"/>
    <w:rsid w:val="00EF6ADC"/>
    <w:rsid w:val="00F01C3E"/>
    <w:rsid w:val="00F029FF"/>
    <w:rsid w:val="00F05376"/>
    <w:rsid w:val="00F06242"/>
    <w:rsid w:val="00F06EA0"/>
    <w:rsid w:val="00F1182D"/>
    <w:rsid w:val="00F14538"/>
    <w:rsid w:val="00F156E3"/>
    <w:rsid w:val="00F15B89"/>
    <w:rsid w:val="00F15C97"/>
    <w:rsid w:val="00F16AF5"/>
    <w:rsid w:val="00F27612"/>
    <w:rsid w:val="00F27D6D"/>
    <w:rsid w:val="00F31F39"/>
    <w:rsid w:val="00F325B0"/>
    <w:rsid w:val="00F3327F"/>
    <w:rsid w:val="00F3457B"/>
    <w:rsid w:val="00F43890"/>
    <w:rsid w:val="00F445C0"/>
    <w:rsid w:val="00F45043"/>
    <w:rsid w:val="00F455E5"/>
    <w:rsid w:val="00F52909"/>
    <w:rsid w:val="00F53A22"/>
    <w:rsid w:val="00F53C86"/>
    <w:rsid w:val="00F60999"/>
    <w:rsid w:val="00F656DC"/>
    <w:rsid w:val="00F65D91"/>
    <w:rsid w:val="00F706E7"/>
    <w:rsid w:val="00F75020"/>
    <w:rsid w:val="00F85D74"/>
    <w:rsid w:val="00F873DD"/>
    <w:rsid w:val="00F90D43"/>
    <w:rsid w:val="00F912EF"/>
    <w:rsid w:val="00F921C8"/>
    <w:rsid w:val="00FA0137"/>
    <w:rsid w:val="00FA1CB7"/>
    <w:rsid w:val="00FB6A4F"/>
    <w:rsid w:val="00FC0E7A"/>
    <w:rsid w:val="00FC6C52"/>
    <w:rsid w:val="00FD7FA3"/>
    <w:rsid w:val="00FE0DAA"/>
    <w:rsid w:val="00FE2016"/>
    <w:rsid w:val="00FE3EDD"/>
    <w:rsid w:val="00FE62FE"/>
    <w:rsid w:val="00FE7749"/>
    <w:rsid w:val="00FF34A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81"/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07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070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algForm">
    <w:name w:val="alg_Form"/>
    <w:basedOn w:val="Normal"/>
    <w:uiPriority w:val="99"/>
    <w:rsid w:val="007A6B22"/>
    <w:pPr>
      <w:spacing w:before="120" w:after="120"/>
    </w:pPr>
    <w:rPr>
      <w:rFonts w:ascii="Arial" w:eastAsia="Times New Roman" w:hAnsi="Arial" w:cs="Times New Roman"/>
    </w:rPr>
  </w:style>
  <w:style w:type="paragraph" w:customStyle="1" w:styleId="Spacer">
    <w:name w:val="Spacer"/>
    <w:basedOn w:val="Header"/>
    <w:uiPriority w:val="99"/>
    <w:rsid w:val="007A6B22"/>
    <w:pPr>
      <w:tabs>
        <w:tab w:val="clear" w:pos="4513"/>
        <w:tab w:val="clear" w:pos="9026"/>
        <w:tab w:val="right" w:pos="9497"/>
      </w:tabs>
      <w:ind w:left="567"/>
    </w:pPr>
    <w:rPr>
      <w:rFonts w:ascii="Arial" w:eastAsia="Times New Roman" w:hAnsi="Arial" w:cs="Times New Roman"/>
      <w:sz w:val="12"/>
    </w:rPr>
  </w:style>
  <w:style w:type="paragraph" w:styleId="Header">
    <w:name w:val="header"/>
    <w:basedOn w:val="Normal"/>
    <w:link w:val="HeaderChar"/>
    <w:uiPriority w:val="99"/>
    <w:rsid w:val="003C2F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A6B22"/>
    <w:rPr>
      <w:rFonts w:eastAsia="Times New Roman" w:cs="Calibri"/>
      <w:lang w:eastAsia="en-US"/>
    </w:rPr>
  </w:style>
  <w:style w:type="paragraph" w:customStyle="1" w:styleId="algFormBold">
    <w:name w:val="alg_FormBold"/>
    <w:basedOn w:val="algForm"/>
    <w:uiPriority w:val="99"/>
    <w:rsid w:val="007A6B22"/>
    <w:pPr>
      <w:ind w:left="-108"/>
    </w:pPr>
    <w:rPr>
      <w:b/>
    </w:rPr>
  </w:style>
  <w:style w:type="paragraph" w:customStyle="1" w:styleId="algHeading1">
    <w:name w:val="alg_Heading1"/>
    <w:basedOn w:val="Normal"/>
    <w:uiPriority w:val="99"/>
    <w:rsid w:val="007A6B22"/>
    <w:pPr>
      <w:spacing w:before="120" w:after="120"/>
      <w:ind w:left="-108"/>
    </w:pPr>
    <w:rPr>
      <w:rFonts w:ascii="Arial" w:eastAsia="Times New Roman" w:hAnsi="Arial" w:cs="Times New Roman"/>
      <w:sz w:val="48"/>
    </w:rPr>
  </w:style>
  <w:style w:type="paragraph" w:customStyle="1" w:styleId="algHeading2">
    <w:name w:val="alg_Heading2"/>
    <w:basedOn w:val="Normal"/>
    <w:autoRedefine/>
    <w:uiPriority w:val="99"/>
    <w:rsid w:val="005D7BB0"/>
    <w:pPr>
      <w:spacing w:before="120"/>
      <w:ind w:left="-108" w:right="-108"/>
      <w:jc w:val="right"/>
    </w:pPr>
    <w:rPr>
      <w:rFonts w:ascii="Arial" w:eastAsia="Times New Roman" w:hAnsi="Arial" w:cs="Times New Roman"/>
      <w:noProof/>
      <w:sz w:val="40"/>
    </w:rPr>
  </w:style>
  <w:style w:type="paragraph" w:styleId="ListParagraph">
    <w:name w:val="List Paragraph"/>
    <w:basedOn w:val="Normal"/>
    <w:uiPriority w:val="34"/>
    <w:qFormat/>
    <w:rsid w:val="00B0756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C2FD4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A627F4"/>
    <w:rPr>
      <w:rFonts w:eastAsia="Times New Roman" w:cs="Calibri"/>
      <w:sz w:val="20"/>
      <w:szCs w:val="20"/>
      <w:lang w:eastAsia="en-US"/>
    </w:rPr>
  </w:style>
  <w:style w:type="character" w:styleId="FootnoteReference">
    <w:name w:val="footnote reference"/>
    <w:rsid w:val="003C2FD4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3C2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146676"/>
    <w:rPr>
      <w:rFonts w:eastAsia="Times New Roman" w:cs="Calibri"/>
      <w:lang w:eastAsia="en-US"/>
    </w:rPr>
  </w:style>
  <w:style w:type="table" w:styleId="LightList-Accent4">
    <w:name w:val="Light List Accent 4"/>
    <w:basedOn w:val="TableNormal"/>
    <w:uiPriority w:val="99"/>
    <w:rsid w:val="00595A2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ListBullet">
    <w:name w:val="List Bullet"/>
    <w:basedOn w:val="Normal"/>
    <w:uiPriority w:val="99"/>
    <w:rsid w:val="003C2FD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46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3C2FD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3C2F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2F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877D1"/>
    <w:rPr>
      <w:rFonts w:eastAsia="Times New Roman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F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877D1"/>
    <w:rPr>
      <w:rFonts w:eastAsia="Times New Roman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A5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323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E190C"/>
    <w:rPr>
      <w:rFonts w:ascii="Times New Roman" w:hAnsi="Times New Roman" w:cs="Calibri"/>
      <w:sz w:val="2"/>
      <w:lang w:eastAsia="en-US"/>
    </w:rPr>
  </w:style>
  <w:style w:type="paragraph" w:styleId="Revision">
    <w:name w:val="Revision"/>
    <w:hidden/>
    <w:uiPriority w:val="99"/>
    <w:semiHidden/>
    <w:rsid w:val="009F01B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242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7C3B"/>
    <w:pPr>
      <w:spacing w:after="2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EE794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semiHidden/>
    <w:unhideWhenUsed/>
    <w:qFormat/>
    <w:locked/>
    <w:rsid w:val="00D70215"/>
    <w:pPr>
      <w:spacing w:after="200"/>
    </w:pPr>
    <w:rPr>
      <w:rFonts w:ascii="Arial" w:eastAsia="Times New Roman" w:hAnsi="Arial" w:cs="Times New Roman"/>
      <w:b/>
      <w:bCs/>
      <w:color w:val="4F81BD" w:themeColor="accent1"/>
      <w:sz w:val="18"/>
      <w:szCs w:val="18"/>
    </w:rPr>
  </w:style>
  <w:style w:type="paragraph" w:customStyle="1" w:styleId="Bullet1">
    <w:name w:val="Bullet 1"/>
    <w:basedOn w:val="Normal"/>
    <w:qFormat/>
    <w:rsid w:val="002B0651"/>
    <w:pPr>
      <w:numPr>
        <w:numId w:val="4"/>
      </w:numPr>
      <w:spacing w:after="240" w:line="312" w:lineRule="auto"/>
    </w:pPr>
  </w:style>
  <w:style w:type="paragraph" w:customStyle="1" w:styleId="Bullet2">
    <w:name w:val="Bullet 2"/>
    <w:basedOn w:val="Normal"/>
    <w:qFormat/>
    <w:rsid w:val="002B0651"/>
    <w:pPr>
      <w:numPr>
        <w:ilvl w:val="1"/>
        <w:numId w:val="4"/>
      </w:numPr>
      <w:spacing w:after="240" w:line="312" w:lineRule="auto"/>
    </w:pPr>
  </w:style>
  <w:style w:type="paragraph" w:customStyle="1" w:styleId="Bullet3">
    <w:name w:val="Bullet 3"/>
    <w:basedOn w:val="Normal"/>
    <w:qFormat/>
    <w:rsid w:val="002B0651"/>
    <w:pPr>
      <w:numPr>
        <w:ilvl w:val="2"/>
        <w:numId w:val="4"/>
      </w:numPr>
      <w:spacing w:after="240"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81"/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07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070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algForm">
    <w:name w:val="alg_Form"/>
    <w:basedOn w:val="Normal"/>
    <w:uiPriority w:val="99"/>
    <w:rsid w:val="007A6B22"/>
    <w:pPr>
      <w:spacing w:before="120" w:after="120"/>
    </w:pPr>
    <w:rPr>
      <w:rFonts w:ascii="Arial" w:eastAsia="Times New Roman" w:hAnsi="Arial" w:cs="Times New Roman"/>
    </w:rPr>
  </w:style>
  <w:style w:type="paragraph" w:customStyle="1" w:styleId="Spacer">
    <w:name w:val="Spacer"/>
    <w:basedOn w:val="Header"/>
    <w:uiPriority w:val="99"/>
    <w:rsid w:val="007A6B22"/>
    <w:pPr>
      <w:tabs>
        <w:tab w:val="clear" w:pos="4513"/>
        <w:tab w:val="clear" w:pos="9026"/>
        <w:tab w:val="right" w:pos="9497"/>
      </w:tabs>
      <w:ind w:left="567"/>
    </w:pPr>
    <w:rPr>
      <w:rFonts w:ascii="Arial" w:eastAsia="Times New Roman" w:hAnsi="Arial" w:cs="Times New Roman"/>
      <w:sz w:val="12"/>
    </w:rPr>
  </w:style>
  <w:style w:type="paragraph" w:styleId="Header">
    <w:name w:val="header"/>
    <w:basedOn w:val="Normal"/>
    <w:link w:val="HeaderChar"/>
    <w:uiPriority w:val="99"/>
    <w:rsid w:val="003C2F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A6B22"/>
    <w:rPr>
      <w:rFonts w:eastAsia="Times New Roman" w:cs="Calibri"/>
      <w:lang w:eastAsia="en-US"/>
    </w:rPr>
  </w:style>
  <w:style w:type="paragraph" w:customStyle="1" w:styleId="algFormBold">
    <w:name w:val="alg_FormBold"/>
    <w:basedOn w:val="algForm"/>
    <w:uiPriority w:val="99"/>
    <w:rsid w:val="007A6B22"/>
    <w:pPr>
      <w:ind w:left="-108"/>
    </w:pPr>
    <w:rPr>
      <w:b/>
    </w:rPr>
  </w:style>
  <w:style w:type="paragraph" w:customStyle="1" w:styleId="algHeading1">
    <w:name w:val="alg_Heading1"/>
    <w:basedOn w:val="Normal"/>
    <w:uiPriority w:val="99"/>
    <w:rsid w:val="007A6B22"/>
    <w:pPr>
      <w:spacing w:before="120" w:after="120"/>
      <w:ind w:left="-108"/>
    </w:pPr>
    <w:rPr>
      <w:rFonts w:ascii="Arial" w:eastAsia="Times New Roman" w:hAnsi="Arial" w:cs="Times New Roman"/>
      <w:sz w:val="48"/>
    </w:rPr>
  </w:style>
  <w:style w:type="paragraph" w:customStyle="1" w:styleId="algHeading2">
    <w:name w:val="alg_Heading2"/>
    <w:basedOn w:val="Normal"/>
    <w:autoRedefine/>
    <w:uiPriority w:val="99"/>
    <w:rsid w:val="005D7BB0"/>
    <w:pPr>
      <w:spacing w:before="120"/>
      <w:ind w:left="-108" w:right="-108"/>
      <w:jc w:val="right"/>
    </w:pPr>
    <w:rPr>
      <w:rFonts w:ascii="Arial" w:eastAsia="Times New Roman" w:hAnsi="Arial" w:cs="Times New Roman"/>
      <w:noProof/>
      <w:sz w:val="40"/>
    </w:rPr>
  </w:style>
  <w:style w:type="paragraph" w:styleId="ListParagraph">
    <w:name w:val="List Paragraph"/>
    <w:basedOn w:val="Normal"/>
    <w:uiPriority w:val="34"/>
    <w:qFormat/>
    <w:rsid w:val="00B0756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C2FD4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A627F4"/>
    <w:rPr>
      <w:rFonts w:eastAsia="Times New Roman" w:cs="Calibri"/>
      <w:sz w:val="20"/>
      <w:szCs w:val="20"/>
      <w:lang w:eastAsia="en-US"/>
    </w:rPr>
  </w:style>
  <w:style w:type="character" w:styleId="FootnoteReference">
    <w:name w:val="footnote reference"/>
    <w:rsid w:val="003C2FD4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3C2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146676"/>
    <w:rPr>
      <w:rFonts w:eastAsia="Times New Roman" w:cs="Calibri"/>
      <w:lang w:eastAsia="en-US"/>
    </w:rPr>
  </w:style>
  <w:style w:type="table" w:styleId="LightList-Accent4">
    <w:name w:val="Light List Accent 4"/>
    <w:basedOn w:val="TableNormal"/>
    <w:uiPriority w:val="99"/>
    <w:rsid w:val="00595A2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ListBullet">
    <w:name w:val="List Bullet"/>
    <w:basedOn w:val="Normal"/>
    <w:uiPriority w:val="99"/>
    <w:rsid w:val="003C2FD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46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3C2FD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3C2F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2F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877D1"/>
    <w:rPr>
      <w:rFonts w:eastAsia="Times New Roman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F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877D1"/>
    <w:rPr>
      <w:rFonts w:eastAsia="Times New Roman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A5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323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E190C"/>
    <w:rPr>
      <w:rFonts w:ascii="Times New Roman" w:hAnsi="Times New Roman" w:cs="Calibri"/>
      <w:sz w:val="2"/>
      <w:lang w:eastAsia="en-US"/>
    </w:rPr>
  </w:style>
  <w:style w:type="paragraph" w:styleId="Revision">
    <w:name w:val="Revision"/>
    <w:hidden/>
    <w:uiPriority w:val="99"/>
    <w:semiHidden/>
    <w:rsid w:val="009F01B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242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7C3B"/>
    <w:pPr>
      <w:spacing w:after="2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EE794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semiHidden/>
    <w:unhideWhenUsed/>
    <w:qFormat/>
    <w:locked/>
    <w:rsid w:val="00D70215"/>
    <w:pPr>
      <w:spacing w:after="200"/>
    </w:pPr>
    <w:rPr>
      <w:rFonts w:ascii="Arial" w:eastAsia="Times New Roman" w:hAnsi="Arial" w:cs="Times New Roman"/>
      <w:b/>
      <w:bCs/>
      <w:color w:val="4F81BD" w:themeColor="accent1"/>
      <w:sz w:val="18"/>
      <w:szCs w:val="18"/>
    </w:rPr>
  </w:style>
  <w:style w:type="paragraph" w:customStyle="1" w:styleId="Bullet1">
    <w:name w:val="Bullet 1"/>
    <w:basedOn w:val="Normal"/>
    <w:qFormat/>
    <w:rsid w:val="002B0651"/>
    <w:pPr>
      <w:numPr>
        <w:numId w:val="4"/>
      </w:numPr>
      <w:spacing w:after="240" w:line="312" w:lineRule="auto"/>
    </w:pPr>
  </w:style>
  <w:style w:type="paragraph" w:customStyle="1" w:styleId="Bullet2">
    <w:name w:val="Bullet 2"/>
    <w:basedOn w:val="Normal"/>
    <w:qFormat/>
    <w:rsid w:val="002B0651"/>
    <w:pPr>
      <w:numPr>
        <w:ilvl w:val="1"/>
        <w:numId w:val="4"/>
      </w:numPr>
      <w:spacing w:after="240" w:line="312" w:lineRule="auto"/>
    </w:pPr>
  </w:style>
  <w:style w:type="paragraph" w:customStyle="1" w:styleId="Bullet3">
    <w:name w:val="Bullet 3"/>
    <w:basedOn w:val="Normal"/>
    <w:qFormat/>
    <w:rsid w:val="002B0651"/>
    <w:pPr>
      <w:numPr>
        <w:ilvl w:val="2"/>
        <w:numId w:val="4"/>
      </w:numPr>
      <w:spacing w:after="240"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8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8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632E-116E-4466-AB60-5D52E3D68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26340-4A51-4E49-8834-B575F8A8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</vt:lpstr>
    </vt:vector>
  </TitlesOfParts>
  <Company>London Councils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</dc:title>
  <dc:creator>Jon Rowney</dc:creator>
  <cp:lastModifiedBy>Daksha Ghelani</cp:lastModifiedBy>
  <cp:revision>2</cp:revision>
  <cp:lastPrinted>2017-09-05T08:00:00Z</cp:lastPrinted>
  <dcterms:created xsi:type="dcterms:W3CDTF">2017-09-20T10:02:00Z</dcterms:created>
  <dcterms:modified xsi:type="dcterms:W3CDTF">2017-09-20T10:02:00Z</dcterms:modified>
</cp:coreProperties>
</file>